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Mandant</w:t>
            </w:r>
          </w:p>
        </w:tc>
        <w:tc>
          <w:tcPr>
            <w:tcW w:type="dxa" w:w="3402"/>
            <w:vAlign w:val="center"/>
          </w:tcPr>
          <w:p>
            <w:r>
              <w:rPr>
                <w:rFonts w:ascii="Arial" w:hAnsi="Arial"/>
                <w:sz w:val="17"/>
              </w:rPr>
              <w:t>Markus Reinhold</w:t>
            </w:r>
          </w:p>
        </w:tc>
      </w:tr>
      <w:tr>
        <w:tc>
          <w:tcPr>
            <w:tcW w:type="dxa" w:w="1984"/>
            <w:vAlign w:val="center"/>
          </w:tcPr>
          <w:p>
            <w:r>
              <w:rPr>
                <w:rFonts w:ascii="Arial" w:hAnsi="Arial"/>
                <w:b/>
                <w:sz w:val="17"/>
              </w:rPr>
              <w:t>Datum</w:t>
            </w:r>
          </w:p>
        </w:tc>
        <w:tc>
          <w:tcPr>
            <w:tcW w:type="dxa" w:w="3402"/>
            <w:vAlign w:val="center"/>
          </w:tcPr>
          <w:p>
            <w:r>
              <w:rPr>
                <w:rFonts w:ascii="Arial" w:hAnsi="Arial"/>
                <w:sz w:val="17"/>
              </w:rPr>
              <w:t>3. Februar 2026</w:t>
            </w:r>
          </w:p>
        </w:tc>
      </w:tr>
      <w:tr>
        <w:tc>
          <w:tcPr>
            <w:tcW w:type="dxa" w:w="1984"/>
            <w:vAlign w:val="center"/>
          </w:tcPr>
          <w:p>
            <w:r>
              <w:rPr>
                <w:rFonts w:ascii="Arial" w:hAnsi="Arial"/>
                <w:b/>
                <w:sz w:val="17"/>
              </w:rPr>
              <w:t>Unser Zeichen</w:t>
            </w:r>
          </w:p>
        </w:tc>
        <w:tc>
          <w:tcPr>
            <w:tcW w:type="dxa" w:w="3402"/>
            <w:vAlign w:val="center"/>
          </w:tcPr>
          <w:p>
            <w:r>
              <w:rPr>
                <w:rFonts w:ascii="Arial" w:hAnsi="Arial"/>
                <w:sz w:val="17"/>
              </w:rPr>
              <w:t>26/184-R</w:t>
            </w:r>
          </w:p>
        </w:tc>
      </w:tr>
    </w:tbl>
    <w:p/>
    <w:p>
      <w:pPr>
        <w:pStyle w:val="Title"/>
      </w:pPr>
      <w:r>
        <w:t>Aktenvermerk zur Antwortstrategie</w:t>
      </w:r>
    </w:p>
    <w:p>
      <w:pPr>
        <w:pStyle w:val="Heading1"/>
      </w:pPr>
      <w:r>
        <w:t>1 Strategische Linie</w:t>
      </w:r>
    </w:p>
    <w:p>
      <w:r>
        <w:t>Die Verteidigung stützt sich auf drei Ebenen. Erstens wird die Auskunft erteilt, aber auf das gesetzlich Geschuldete begrenzt. Zweitens wird die fehlende oder geringe Leistungsfähigkeit nach Abzug der vorrangigen Familienlasten und des erhöhten Selbstbehalts dargelegt. Drittens wird vorsorglich der Verwirkungseinwand und der Hinweis auf die Schenkungsrückforderung gegen die Enkelin als alternativer Befriedigungsweg des Sozialamts in Stellung gebracht. Ziel ist, eine Inanspruchnahme zu vermeiden oder auf einen geringen Betrag zu begrenzen.</w:t>
      </w:r>
    </w:p>
    <w:p>
      <w:r>
        <w:t>Die Auskunft wird auf belegte Daten des Mandanten beschränkt. Einkommensgrenze, vorrangige Familienlasten und vorhandene Altersvorsorge werden in getrennten Anlagen dargestellt. Eine Zahlungspflicht wird mit der Unterlagenübersendung nicht anerkannt.</w:t>
      </w:r>
    </w:p>
    <w:p>
      <w:r>
        <w:t>Der behauptete Kontaktabbruch und die Zahlung an die Enkelin werden als Tatsachenstränge dokumentiert, aber erst nach Eingang von Kontoauszügen, Korrespondenz und Angaben der Schwester bewertet. Das Sozialamt soll Höhe und Zeitraum seiner Leistungen offenlegen.</w:t>
      </w:r>
    </w:p>
    <w:p>
      <w:r>
        <w:t>Vor Versand sind Dezemberabrechnung, Steuerbescheid, Tilgungsplan und Heimkostenänderung zum 1. Januar 2026 abzugleichen. Wiedervorlage 10. Februar; Entwurf 12b erst nach Zahlenfreigabe versenden.</w:t>
      </w:r>
    </w:p>
    <w:p/>
    <w:p>
      <w:r>
        <w:rPr>
          <w:rFonts w:ascii="Arial" w:hAnsi="Arial"/>
          <w:b/>
          <w:sz w:val="20"/>
        </w:rPr>
        <w:t>Dr. Vera Lindenhof</w:t>
        <w:br/>
      </w:r>
      <w:r>
        <w:rPr>
          <w:rFonts w:ascii="Arial" w:hAnsi="Arial"/>
          <w:sz w:val="20"/>
        </w:rPr>
        <w:t>Rechtsanwältin · Fachanwältin für Familienrecht</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12a_kanzleivermerk_antwortstrategie_sozialamt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4C2F38"/>
        <w:sz w:val="20"/>
      </w:rPr>
      <w:t>Lindenhof &amp; Partner Rechtsanwälte mbB</w:t>
    </w:r>
  </w:p>
  <w:p>
    <w:pPr>
      <w:spacing w:after="0"/>
      <w:pBdr>
        <w:bottom w:val="single" w:sz="8" w:space="3" w:color="4C2F38"/>
      </w:pBdr>
    </w:pPr>
    <w:r>
      <w:rPr>
        <w:rFonts w:ascii="Arial" w:hAnsi="Arial"/>
        <w:sz w:val="16"/>
      </w:rPr>
      <w:t>Theaterstraße 18, 52062 Aachen | Telefon 0241 946 82-0 | Telefax 0241 946 82-29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C2F3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C2F3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4C2F38"/>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Aktenvermerk zur Antwortstrategie</dc:title>
  <dc:subject/>
  <dc:creator>Lindenhof &amp; Partner Rechtsanwälte mbB</dc:creator>
  <cp:keywords/>
  <dc:description>generated by python-docx</dc:description>
  <cp:lastModifiedBy/>
  <cp:revision>1</cp:revision>
  <dcterms:created xsi:type="dcterms:W3CDTF">2013-12-23T23:15:00Z</dcterms:created>
  <dcterms:modified xsi:type="dcterms:W3CDTF">2013-12-23T23:15:00Z</dcterms:modified>
  <cp:category/>
</cp:coreProperties>
</file>