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 und Ratenangebot</w:t>
      </w:r>
    </w:p>
    <w:p>
      <w:pPr>
        <w:pStyle w:val="Heading2"/>
      </w:pPr>
      <w:r>
        <w:rPr>
          <w:rFonts w:ascii="Times New Roman" w:hAnsi="Times New Roman"/>
        </w:rPr>
        <w:t>1 Zweck</w:t>
      </w:r>
    </w:p>
    <w:p>
      <w:pPr>
        <w:jc w:val="left"/>
      </w:pPr>
      <w:r>
        <w:t>Für den Fall, dass das Sozialamt entgegen unserer Berechnung von einer Leistungsfähigkeit ausgeht oder zur Vermeidung eines streitigen Verfahrens, wird ein abgestuftes Vergleichsangebot vorbereitet. Es soll eine endgültige Erledigung ermöglichen, ohne die wirtschaftliche Lage der Familie des Mandanten zu gefährden.</w:t>
      </w:r>
    </w:p>
    <w:p>
      <w:pPr>
        <w:pStyle w:val="Heading2"/>
      </w:pPr>
      <w:r>
        <w:rPr>
          <w:rFonts w:ascii="Times New Roman" w:hAnsi="Times New Roman"/>
        </w:rPr>
        <w:t>2 Bewertung der Ausgangslage</w:t>
      </w:r>
    </w:p>
    <w:p>
      <w:pPr>
        <w:jc w:val="left"/>
      </w:pPr>
      <w:r>
        <w:t>Nach der Arbeitsrechnung in Aktenstück 10 ist die Leistungsfähigkeit gering oder nicht gegeben. Ein Vergleich kommt daher nur als Risikoabwägung in Betracht, um Verfahrenskosten und das Prozessrisiko hinsichtlich der ungeklärten Selbstbehaltsfrage zu vermeiden. Der vom Sozialamt monatlich aufgewendete ungedeckte Bedarf von rund 2.155 EUR bildet die absolute Obergrenze; tatsächlich liegt ein etwaiger einzusetzender Betrag deutlich darunter.</w:t>
      </w:r>
    </w:p>
    <w:p>
      <w:pPr>
        <w:pStyle w:val="Heading2"/>
      </w:pPr>
      <w:r>
        <w:rPr>
          <w:rFonts w:ascii="Times New Roman" w:hAnsi="Times New Roman"/>
        </w:rPr>
        <w:t>3 Angebot</w:t>
      </w:r>
    </w:p>
    <w:p>
      <w:pPr>
        <w:jc w:val="left"/>
      </w:pPr>
      <w:r>
        <w:t>3.1 Erste Stufe. Vergleichsweise wird angeboten, laufend einen monatlichen Betrag von 150 EUR zu zahlen, beginnend mit dem auf den Vergleichsschluss folgenden Monat, befristet bis zur Beendigung des Heimaufenthalts der Mutter. Damit wären sämtliche Ansprüche für die Vergangenheit und die Zukunft abgegolten.</w:t>
      </w:r>
    </w:p>
    <w:p>
      <w:pPr>
        <w:jc w:val="left"/>
      </w:pPr>
      <w:r>
        <w:t>3.2 Zweite Stufe. Hilfsweise wird ein einmaliger Abfindungsbetrag von 3.000 EUR angeboten, zahlbar in zwölf Monatsraten zu je 250 EUR, zur vollständigen und endgültigen Abgeltung sämtlicher Unterhalts- und etwaiger Schenkungsrückforderungsansprüche.</w:t>
      </w:r>
    </w:p>
    <w:p>
      <w:pPr>
        <w:jc w:val="left"/>
      </w:pPr>
      <w:r>
        <w:t>3.3 Beide Angebote stehen unter dem Vorbehalt, dass das Sozialamt auf weitergehende Ansprüche und auf eine Heranziehung der Schwester im Innenverhältnis verzichtet, soweit sie den Mandanten belasten würde.</w:t>
      </w:r>
    </w:p>
    <w:p>
      <w:pPr>
        <w:pStyle w:val="Heading2"/>
      </w:pPr>
      <w:r>
        <w:rPr>
          <w:rFonts w:ascii="Times New Roman" w:hAnsi="Times New Roman"/>
        </w:rPr>
        <w:t>4 Begründung der Beträge</w:t>
      </w:r>
    </w:p>
    <w:p>
      <w:pPr>
        <w:jc w:val="left"/>
      </w:pPr>
      <w:r>
        <w:t>Die angebotenen Beträge orientieren sich an dem allenfalls geringfügig verbleibenden einzusetzenden Einkommen und an dem Interesse an einer schnellen, endgültigen Erledigung. Sie sind bewusst niedrig gehalten, weil die Hauptverteidigungslinie die fehlende Leistungsfähigkeit ist und der Vergleich nur dem Ausschluss des Prozessrisikos dient.</w:t>
      </w:r>
    </w:p>
    <w:p>
      <w:pPr>
        <w:pStyle w:val="Heading2"/>
      </w:pPr>
      <w:r>
        <w:rPr>
          <w:rFonts w:ascii="Times New Roman" w:hAnsi="Times New Roman"/>
        </w:rPr>
        <w:t>5 Hinweise</w:t>
      </w:r>
    </w:p>
    <w:p>
      <w:pPr>
        <w:jc w:val="left"/>
      </w:pPr>
      <w:r>
        <w:t>Vor Unterbreitung des Angebots ist die abschließende Berechnung freizugeben und mit dem Mandanten die Obergrenze seiner Zahlungsbereitschaft zu klären. Ein Vergleich sollte schriftlich und mit ausdrücklicher Abgeltungsklausel geschlossen werden.</w:t>
      </w:r>
    </w:p>
    <w:p>
      <w:pPr>
        <w:pStyle w:val="Heading2"/>
      </w:pPr>
      <w:r>
        <w:rPr>
          <w:rFonts w:ascii="Times New Roman" w:hAnsi="Times New Roman"/>
        </w:rPr>
        <w:t>6 Quellen und Belege</w:t>
      </w:r>
    </w:p>
    <w:p>
      <w:pPr>
        <w:jc w:val="left"/>
      </w:pPr>
      <w:r>
        <w:t>Quellenpflicht nach references/zitierweise.md. Normbezug: Paragrafen 1601, 1603 BGB, Paragraf 94 SGB XII. Die zugrunde liegenden Selbstbehaltssätze sind Arbeitswerte und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