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Honorar-, Rechte- und Auftragsübersicht</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Aussteller</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Bildagentur Nordfenster GmbH, Rechte- und Lizenzservice</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Vorgang</w:t>
            </w:r>
          </w:p>
        </w:tc>
        <w:tc>
          <w:tcPr>
            <w:tcW w:type="dxa" w:w="4872"/>
            <w:vAlign w:val="center"/>
            <w:tcMar>
              <w:top w:w="90" w:type="dxa"/>
              <w:start w:w="100" w:type="dxa"/>
              <w:bottom w:w="90" w:type="dxa"/>
              <w:end w:w="100" w:type="dxa"/>
            </w:tcMar>
          </w:tcPr>
          <w:p>
            <w:pPr>
              <w:spacing w:after="30"/>
            </w:pPr>
            <w:r>
              <w:rPr>
                <w:rFonts w:ascii="Arial" w:hAnsi="Arial"/>
                <w:sz w:val="17"/>
              </w:rPr>
              <w:t>NF-2026-0518 / Armin Lohse</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Datum</w:t>
            </w:r>
          </w:p>
        </w:tc>
        <w:tc>
          <w:tcPr>
            <w:tcW w:type="dxa" w:w="4872"/>
            <w:vAlign w:val="center"/>
            <w:tcMar>
              <w:top w:w="90" w:type="dxa"/>
              <w:start w:w="100" w:type="dxa"/>
              <w:bottom w:w="90" w:type="dxa"/>
              <w:end w:w="100" w:type="dxa"/>
            </w:tcMar>
            <w:shd w:fill="F2F4F5"/>
          </w:tcPr>
          <w:p>
            <w:pPr>
              <w:spacing w:after="30"/>
            </w:pPr>
            <w:r>
              <w:rPr>
                <w:rFonts w:ascii="Arial" w:hAnsi="Arial"/>
                <w:sz w:val="17"/>
              </w:rPr>
              <w:t>02.07.2026</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Sachbearbeitung</w:t>
            </w:r>
          </w:p>
        </w:tc>
        <w:tc>
          <w:tcPr>
            <w:tcW w:type="dxa" w:w="4872"/>
            <w:vAlign w:val="center"/>
            <w:tcMar>
              <w:top w:w="90" w:type="dxa"/>
              <w:start w:w="100" w:type="dxa"/>
              <w:bottom w:w="90" w:type="dxa"/>
              <w:end w:w="100" w:type="dxa"/>
            </w:tcMar>
          </w:tcPr>
          <w:p>
            <w:pPr>
              <w:spacing w:after="30"/>
            </w:pPr>
            <w:r>
              <w:rPr>
                <w:rFonts w:ascii="Arial" w:hAnsi="Arial"/>
                <w:sz w:val="17"/>
              </w:rPr>
              <w:t>Marlene Voß, Durchwahl 030 440781-24</w:t>
            </w:r>
          </w:p>
        </w:tc>
      </w:tr>
    </w:tbl>
    <w:p/>
    <w:p>
      <w:pPr>
        <w:pStyle w:val="Heading1"/>
      </w:pPr>
      <w:r>
        <w:t>1. Vertragsbestand</w:t>
      </w:r>
    </w:p>
    <w:p>
      <w:pPr>
        <w:keepLines w:val="0"/>
      </w:pPr>
      <w:r>
        <w:t>Armin Lohse wurde seit dem 01.04.2019 als selbstständiger Fotograf geführt. Nordfenster erhielt nicht ausschließliche Vertriebsrechte an den jeweils eingelieferten Serien. Die Originaldateien verblieben beim Fotografen. Abrechnungen erfolgten halbjährlich; Rückfragen zu Model-Releases und Sperrvermerken wurden über das Agenturportal geführt.</w:t>
      </w:r>
    </w:p>
    <w:p>
      <w:pPr>
        <w:keepLines w:val="0"/>
      </w:pPr>
      <w:r>
        <w:t>Die Agentur hat den Account am 25.05.2026 in einen Lesemodus versetzt. Seitdem wurden keine neuen Lizenzen freigegeben. Bereits geschlossene Lizenzen laufen weiter, sofern keine dokumentierte Beschränkung entgegensteht.</w:t>
      </w:r>
    </w:p>
    <w:p>
      <w:pPr>
        <w:pStyle w:val="Heading1"/>
      </w:pPr>
      <w:r>
        <w:t>2. Offene Abrechnung</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trPr>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Serie oder Position</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Lizenzvorgänge</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Nettohonorar</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Belegstatus</w:t>
            </w:r>
          </w:p>
        </w:tc>
      </w:tr>
      <w:tr>
        <w:tc>
          <w:tcPr>
            <w:tcW w:type="dxa" w:w="2436"/>
            <w:vAlign w:val="center"/>
            <w:tcMar>
              <w:top w:w="90" w:type="dxa"/>
              <w:start w:w="100" w:type="dxa"/>
              <w:bottom w:w="90" w:type="dxa"/>
              <w:end w:w="100" w:type="dxa"/>
            </w:tcMar>
          </w:tcPr>
          <w:p>
            <w:pPr>
              <w:spacing w:after="30"/>
            </w:pPr>
            <w:r>
              <w:rPr>
                <w:rFonts w:ascii="Arial" w:hAnsi="Arial"/>
                <w:sz w:val="17"/>
              </w:rPr>
              <w:t>Hafenstadt 2024/2025</w:t>
            </w:r>
          </w:p>
        </w:tc>
        <w:tc>
          <w:tcPr>
            <w:tcW w:type="dxa" w:w="2436"/>
            <w:vAlign w:val="center"/>
            <w:tcMar>
              <w:top w:w="90" w:type="dxa"/>
              <w:start w:w="100" w:type="dxa"/>
              <w:bottom w:w="90" w:type="dxa"/>
              <w:end w:w="100" w:type="dxa"/>
            </w:tcMar>
          </w:tcPr>
          <w:p>
            <w:pPr>
              <w:spacing w:after="30"/>
            </w:pPr>
            <w:r>
              <w:rPr>
                <w:rFonts w:ascii="Arial" w:hAnsi="Arial"/>
                <w:sz w:val="17"/>
              </w:rPr>
              <w:t>14</w:t>
            </w:r>
          </w:p>
        </w:tc>
        <w:tc>
          <w:tcPr>
            <w:tcW w:type="dxa" w:w="2436"/>
            <w:vAlign w:val="center"/>
            <w:tcMar>
              <w:top w:w="90" w:type="dxa"/>
              <w:start w:w="100" w:type="dxa"/>
              <w:bottom w:w="90" w:type="dxa"/>
              <w:end w:w="100" w:type="dxa"/>
            </w:tcMar>
          </w:tcPr>
          <w:p>
            <w:pPr>
              <w:spacing w:after="30"/>
            </w:pPr>
            <w:r>
              <w:rPr>
                <w:rFonts w:ascii="Arial" w:hAnsi="Arial"/>
                <w:sz w:val="17"/>
              </w:rPr>
              <w:t>3200,00 EUR</w:t>
            </w:r>
          </w:p>
        </w:tc>
        <w:tc>
          <w:tcPr>
            <w:tcW w:type="dxa" w:w="2436"/>
            <w:vAlign w:val="center"/>
            <w:tcMar>
              <w:top w:w="90" w:type="dxa"/>
              <w:start w:w="100" w:type="dxa"/>
              <w:bottom w:w="90" w:type="dxa"/>
              <w:end w:w="100" w:type="dxa"/>
            </w:tcMar>
          </w:tcPr>
          <w:p>
            <w:pPr>
              <w:spacing w:after="30"/>
            </w:pPr>
            <w:r>
              <w:rPr>
                <w:rFonts w:ascii="Arial" w:hAnsi="Arial"/>
                <w:sz w:val="17"/>
              </w:rPr>
              <w:t>Releases vollständig</w:t>
            </w:r>
          </w:p>
        </w:tc>
      </w:tr>
      <w:tr>
        <w:tc>
          <w:tcPr>
            <w:tcW w:type="dxa" w:w="2436"/>
            <w:vAlign w:val="center"/>
            <w:tcMar>
              <w:top w:w="90" w:type="dxa"/>
              <w:start w:w="100" w:type="dxa"/>
              <w:bottom w:w="90" w:type="dxa"/>
              <w:end w:w="100" w:type="dxa"/>
            </w:tcMar>
            <w:shd w:fill="F2F4F5"/>
          </w:tcPr>
          <w:p>
            <w:pPr>
              <w:spacing w:after="30"/>
            </w:pPr>
            <w:r>
              <w:rPr>
                <w:rFonts w:ascii="Arial" w:hAnsi="Arial"/>
                <w:sz w:val="17"/>
              </w:rPr>
              <w:t>Porträtarchiv Kulturszene</w:t>
            </w:r>
          </w:p>
        </w:tc>
        <w:tc>
          <w:tcPr>
            <w:tcW w:type="dxa" w:w="2436"/>
            <w:vAlign w:val="center"/>
            <w:tcMar>
              <w:top w:w="90" w:type="dxa"/>
              <w:start w:w="100" w:type="dxa"/>
              <w:bottom w:w="90" w:type="dxa"/>
              <w:end w:w="100" w:type="dxa"/>
            </w:tcMar>
            <w:shd w:fill="F2F4F5"/>
          </w:tcPr>
          <w:p>
            <w:pPr>
              <w:spacing w:after="30"/>
            </w:pPr>
            <w:r>
              <w:rPr>
                <w:rFonts w:ascii="Arial" w:hAnsi="Arial"/>
                <w:sz w:val="17"/>
              </w:rPr>
              <w:t>6</w:t>
            </w:r>
          </w:p>
        </w:tc>
        <w:tc>
          <w:tcPr>
            <w:tcW w:type="dxa" w:w="2436"/>
            <w:vAlign w:val="center"/>
            <w:tcMar>
              <w:top w:w="90" w:type="dxa"/>
              <w:start w:w="100" w:type="dxa"/>
              <w:bottom w:w="90" w:type="dxa"/>
              <w:end w:w="100" w:type="dxa"/>
            </w:tcMar>
            <w:shd w:fill="F2F4F5"/>
          </w:tcPr>
          <w:p>
            <w:pPr>
              <w:spacing w:after="30"/>
            </w:pPr>
            <w:r>
              <w:rPr>
                <w:rFonts w:ascii="Arial" w:hAnsi="Arial"/>
                <w:sz w:val="17"/>
              </w:rPr>
              <w:t>1400,00 EUR</w:t>
            </w:r>
          </w:p>
        </w:tc>
        <w:tc>
          <w:tcPr>
            <w:tcW w:type="dxa" w:w="2436"/>
            <w:vAlign w:val="center"/>
            <w:tcMar>
              <w:top w:w="90" w:type="dxa"/>
              <w:start w:w="100" w:type="dxa"/>
              <w:bottom w:w="90" w:type="dxa"/>
              <w:end w:w="100" w:type="dxa"/>
            </w:tcMar>
            <w:shd w:fill="F2F4F5"/>
          </w:tcPr>
          <w:p>
            <w:pPr>
              <w:spacing w:after="30"/>
            </w:pPr>
            <w:r>
              <w:rPr>
                <w:rFonts w:ascii="Arial" w:hAnsi="Arial"/>
                <w:sz w:val="17"/>
              </w:rPr>
              <w:t>zwei Releases nur digital</w:t>
            </w:r>
          </w:p>
        </w:tc>
      </w:tr>
      <w:tr>
        <w:tc>
          <w:tcPr>
            <w:tcW w:type="dxa" w:w="2436"/>
            <w:vAlign w:val="center"/>
            <w:tcMar>
              <w:top w:w="90" w:type="dxa"/>
              <w:start w:w="100" w:type="dxa"/>
              <w:bottom w:w="90" w:type="dxa"/>
              <w:end w:w="100" w:type="dxa"/>
            </w:tcMar>
          </w:tcPr>
          <w:p>
            <w:pPr>
              <w:spacing w:after="30"/>
            </w:pPr>
            <w:r>
              <w:rPr>
                <w:rFonts w:ascii="Arial" w:hAnsi="Arial"/>
                <w:sz w:val="17"/>
              </w:rPr>
              <w:t>Ausstellungskatalog Bauhaus-Nord</w:t>
            </w:r>
          </w:p>
        </w:tc>
        <w:tc>
          <w:tcPr>
            <w:tcW w:type="dxa" w:w="2436"/>
            <w:vAlign w:val="center"/>
            <w:tcMar>
              <w:top w:w="90" w:type="dxa"/>
              <w:start w:w="100" w:type="dxa"/>
              <w:bottom w:w="90" w:type="dxa"/>
              <w:end w:w="100" w:type="dxa"/>
            </w:tcMar>
          </w:tcPr>
          <w:p>
            <w:pPr>
              <w:spacing w:after="30"/>
            </w:pPr>
            <w:r>
              <w:rPr>
                <w:rFonts w:ascii="Arial" w:hAnsi="Arial"/>
                <w:sz w:val="17"/>
              </w:rPr>
              <w:t>1</w:t>
            </w:r>
          </w:p>
        </w:tc>
        <w:tc>
          <w:tcPr>
            <w:tcW w:type="dxa" w:w="2436"/>
            <w:vAlign w:val="center"/>
            <w:tcMar>
              <w:top w:w="90" w:type="dxa"/>
              <w:start w:w="100" w:type="dxa"/>
              <w:bottom w:w="90" w:type="dxa"/>
              <w:end w:w="100" w:type="dxa"/>
            </w:tcMar>
          </w:tcPr>
          <w:p>
            <w:pPr>
              <w:spacing w:after="30"/>
            </w:pPr>
            <w:r>
              <w:rPr>
                <w:rFonts w:ascii="Arial" w:hAnsi="Arial"/>
                <w:sz w:val="17"/>
              </w:rPr>
              <w:t>3240,00 EUR</w:t>
            </w:r>
          </w:p>
        </w:tc>
        <w:tc>
          <w:tcPr>
            <w:tcW w:type="dxa" w:w="2436"/>
            <w:vAlign w:val="center"/>
            <w:tcMar>
              <w:top w:w="90" w:type="dxa"/>
              <w:start w:w="100" w:type="dxa"/>
              <w:bottom w:w="90" w:type="dxa"/>
              <w:end w:w="100" w:type="dxa"/>
            </w:tcMar>
          </w:tcPr>
          <w:p>
            <w:pPr>
              <w:spacing w:after="30"/>
            </w:pPr>
            <w:r>
              <w:rPr>
                <w:rFonts w:ascii="Arial" w:hAnsi="Arial"/>
                <w:sz w:val="17"/>
              </w:rPr>
              <w:t>Sonderlizenz vom 18.03.2026</w:t>
            </w:r>
          </w:p>
        </w:tc>
      </w:tr>
      <w:tr>
        <w:tc>
          <w:tcPr>
            <w:tcW w:type="dxa" w:w="2436"/>
            <w:vAlign w:val="center"/>
            <w:tcMar>
              <w:top w:w="90" w:type="dxa"/>
              <w:start w:w="100" w:type="dxa"/>
              <w:bottom w:w="90" w:type="dxa"/>
              <w:end w:w="100" w:type="dxa"/>
            </w:tcMar>
            <w:shd w:fill="F2F4F5"/>
          </w:tcPr>
          <w:p>
            <w:pPr>
              <w:spacing w:after="30"/>
            </w:pPr>
            <w:r>
              <w:rPr>
                <w:rFonts w:ascii="Arial" w:hAnsi="Arial"/>
                <w:sz w:val="17"/>
              </w:rPr>
              <w:t>Summe</w:t>
            </w:r>
          </w:p>
        </w:tc>
        <w:tc>
          <w:tcPr>
            <w:tcW w:type="dxa" w:w="2436"/>
            <w:vAlign w:val="center"/>
            <w:tcMar>
              <w:top w:w="90" w:type="dxa"/>
              <w:start w:w="100" w:type="dxa"/>
              <w:bottom w:w="90" w:type="dxa"/>
              <w:end w:w="100" w:type="dxa"/>
            </w:tcMar>
            <w:shd w:fill="F2F4F5"/>
          </w:tcPr>
          <w:p>
            <w:pPr>
              <w:spacing w:after="30"/>
            </w:pPr>
            <w:r>
              <w:rPr>
                <w:rFonts w:ascii="Arial" w:hAnsi="Arial"/>
                <w:sz w:val="17"/>
              </w:rPr>
              <w:t>21</w:t>
            </w:r>
          </w:p>
        </w:tc>
        <w:tc>
          <w:tcPr>
            <w:tcW w:type="dxa" w:w="2436"/>
            <w:vAlign w:val="center"/>
            <w:tcMar>
              <w:top w:w="90" w:type="dxa"/>
              <w:start w:w="100" w:type="dxa"/>
              <w:bottom w:w="90" w:type="dxa"/>
              <w:end w:w="100" w:type="dxa"/>
            </w:tcMar>
            <w:shd w:fill="F2F4F5"/>
          </w:tcPr>
          <w:p>
            <w:pPr>
              <w:spacing w:after="30"/>
            </w:pPr>
            <w:r>
              <w:rPr>
                <w:rFonts w:ascii="Arial" w:hAnsi="Arial"/>
                <w:sz w:val="17"/>
              </w:rPr>
              <w:t>7840,00 EUR</w:t>
            </w:r>
          </w:p>
        </w:tc>
        <w:tc>
          <w:tcPr>
            <w:tcW w:type="dxa" w:w="2436"/>
            <w:vAlign w:val="center"/>
            <w:tcMar>
              <w:top w:w="90" w:type="dxa"/>
              <w:start w:w="100" w:type="dxa"/>
              <w:bottom w:w="90" w:type="dxa"/>
              <w:end w:w="100" w:type="dxa"/>
            </w:tcMar>
            <w:shd w:fill="F2F4F5"/>
          </w:tcPr>
          <w:p>
            <w:pPr>
              <w:spacing w:after="30"/>
            </w:pPr>
            <w:r>
              <w:rPr>
                <w:rFonts w:ascii="Arial" w:hAnsi="Arial"/>
                <w:sz w:val="17"/>
              </w:rPr>
              <w:t>Auszahlung ausgesetzt</w:t>
            </w:r>
          </w:p>
        </w:tc>
      </w:tr>
    </w:tbl>
    <w:p>
      <w:pPr>
        <w:pStyle w:val="Heading1"/>
      </w:pPr>
      <w:r>
        <w:t>3. Ausstehende Unterlagen</w:t>
      </w:r>
    </w:p>
    <w:p>
      <w:pPr>
        <w:keepLines w:val="0"/>
      </w:pPr>
      <w:r>
        <w:t>Für die Auszahlung benötigt Nordfenster einen belastbaren Nachweis, wer die Forderung einziehen und Weisungen zu weiteren Lizenzen erteilen darf. Eine notarielle Vollmacht oder eine abgestimmte Zwischenanweisung aller nach Aktenlage Beteiligten kann geprüft werden; die Agentur entscheidet hiermit nicht über die Erbfolge.</w:t>
      </w:r>
    </w:p>
    <w:p>
      <w:pPr>
        <w:keepLines w:val="0"/>
      </w:pPr>
      <w:r>
        <w:t>Für die Dateien HAF-2147 und POR-0881 fehlen die lokal gespeicherten Release-PDFs. Im Portal liegen nur Vorschaubilder. Ohne Zugriff auf das Archiv ist nicht erkennbar, ob vollständige Unterlagen vorhanden sind.</w:t>
      </w:r>
    </w:p>
    <w:p>
      <w:pPr>
        <w:pStyle w:val="Heading1"/>
      </w:pPr>
      <w:r>
        <w:t>4. Kundenanfrage Ahlers</w:t>
      </w:r>
    </w:p>
    <w:p>
      <w:pPr>
        <w:keepLines w:val="0"/>
      </w:pPr>
      <w:r>
        <w:t>Der Auftrag Hochzeit Ahlers wurde direkt mit Armin geschlossen und nicht über Nordfenster vermittelt. Auf Wunsch von Eva wurde lediglich geprüft, ob eine Sicherungskopie in der Agentur liegt. Das ist nicht der Fall. Nordfenster verfügt nur über zwölf ausgewählte Vorschaubilder ohne Downloadauflösung.</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Rechte- und Lizenzservice | Chausseestraße 18 | 10115 Berlin | HRB 218744 B</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Bildagentur Nordfenster GmbH</w:t>
          </w:r>
        </w:p>
        <w:p>
          <w:pPr>
            <w:spacing w:after="0"/>
          </w:pPr>
          <w:r>
            <w:rPr>
              <w:color w:val="6B7378"/>
              <w:sz w:val="15"/>
            </w:rPr>
            <w:t>Rechte- und Lizenzservice | Chausseestraße 18 | 10115 Berlin | HRB 218744 B</w:t>
          </w:r>
        </w:p>
      </w:tc>
      <w:tc>
        <w:tcPr>
          <w:tcW w:type="dxa" w:w="4706"/>
        </w:tcPr>
        <w:p>
          <w:pPr>
            <w:spacing w:after="20"/>
            <w:jc w:val="right"/>
          </w:pPr>
          <w:r>
            <w:rPr>
              <w:b/>
              <w:color w:val="17324D"/>
              <w:sz w:val="18"/>
            </w:rPr>
            <w:t>Nachlass Lohse</w:t>
          </w:r>
        </w:p>
        <w:p>
          <w:pPr>
            <w:spacing w:after="0"/>
            <w:jc w:val="right"/>
          </w:pPr>
          <w:r>
            <w:rPr>
              <w:color w:val="6B7378"/>
              <w:sz w:val="15"/>
            </w:rPr>
            <w:t>Aktenzeichen 26-ERB-0417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Voll-Herzberg</dc:creator>
  <cp:keywords/>
  <dc:description>generated by python-docx</dc:description>
  <cp:lastModifiedBy>Kanzlei Voll-Herzberg</cp:lastModifiedBy>
  <cp:revision>1</cp:revision>
  <dcterms:created xsi:type="dcterms:W3CDTF">2026-07-15T12:00:00Z</dcterms:created>
  <dcterms:modified xsi:type="dcterms:W3CDTF">2026-07-15T12:00:00Z</dcterms:modified>
  <cp:category/>
</cp:coreProperties>
</file>