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Recherchevermerk zum digitalen Nachlass</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Bearbeiterin</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Dr. Susanne Voll-Herzberg</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Stand</w:t>
            </w:r>
          </w:p>
        </w:tc>
        <w:tc>
          <w:tcPr>
            <w:tcW w:type="dxa" w:w="4872"/>
            <w:vAlign w:val="center"/>
            <w:tcMar>
              <w:top w:w="90" w:type="dxa"/>
              <w:start w:w="100" w:type="dxa"/>
              <w:bottom w:w="90" w:type="dxa"/>
              <w:end w:w="100" w:type="dxa"/>
            </w:tcMar>
          </w:tcPr>
          <w:p>
            <w:pPr>
              <w:spacing w:after="30"/>
            </w:pPr>
            <w:r>
              <w:rPr>
                <w:rFonts w:ascii="Arial" w:hAnsi="Arial"/>
                <w:sz w:val="17"/>
              </w:rPr>
              <w:t>03.07.2026</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Zweck</w:t>
            </w:r>
          </w:p>
        </w:tc>
        <w:tc>
          <w:tcPr>
            <w:tcW w:type="dxa" w:w="4872"/>
            <w:vAlign w:val="center"/>
            <w:tcMar>
              <w:top w:w="90" w:type="dxa"/>
              <w:start w:w="100" w:type="dxa"/>
              <w:bottom w:w="90" w:type="dxa"/>
              <w:end w:w="100" w:type="dxa"/>
            </w:tcMar>
            <w:shd w:fill="F2F4F5"/>
          </w:tcPr>
          <w:p>
            <w:pPr>
              <w:spacing w:after="30"/>
            </w:pPr>
            <w:r>
              <w:rPr>
                <w:rFonts w:ascii="Arial" w:hAnsi="Arial"/>
                <w:sz w:val="17"/>
              </w:rPr>
              <w:t>Arbeitsgrundlage; keine Vorfestlegung streitiger Tatsachen</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Quellenstatus</w:t>
            </w:r>
          </w:p>
        </w:tc>
        <w:tc>
          <w:tcPr>
            <w:tcW w:type="dxa" w:w="4872"/>
            <w:vAlign w:val="center"/>
            <w:tcMar>
              <w:top w:w="90" w:type="dxa"/>
              <w:start w:w="100" w:type="dxa"/>
              <w:bottom w:w="90" w:type="dxa"/>
              <w:end w:w="100" w:type="dxa"/>
            </w:tcMar>
          </w:tcPr>
          <w:p>
            <w:pPr>
              <w:spacing w:after="30"/>
            </w:pPr>
            <w:r>
              <w:rPr>
                <w:rFonts w:ascii="Arial" w:hAnsi="Arial"/>
                <w:sz w:val="17"/>
              </w:rPr>
              <w:t>Entscheidungstexte in der Handakte gegengeprüft</w:t>
            </w:r>
          </w:p>
        </w:tc>
      </w:tr>
    </w:tbl>
    <w:p/>
    <w:p>
      <w:pPr>
        <w:pStyle w:val="Heading1"/>
      </w:pPr>
      <w:r>
        <w:t>1. Prüfgegenstände</w:t>
      </w:r>
    </w:p>
    <w:p>
      <w:pPr>
        <w:keepLines w:val="0"/>
      </w:pPr>
      <w:r>
        <w:t>Getrennt zu untersuchen sind die vertraglichen Positionen gegenüber Cloud- und Plattformanbietern, das Eigentum an Geräten, die tatsächliche Datenherrschaft, Urheber- und Bearbeitungsrechte sowie die Verwaltung einer noch nicht abschließend geklärten Erbfolge. Ein Zugang zu Daten beantwortet nicht automatisch die Frage, wer einzelne Bilder verwerten darf.</w:t>
      </w:r>
    </w:p>
    <w:p>
      <w:pPr>
        <w:pStyle w:val="Heading1"/>
      </w:pPr>
      <w:r>
        <w:t>2. Rechtsprechungsanker</w:t>
      </w:r>
    </w:p>
    <w:p>
      <w:pPr>
        <w:keepLines w:val="0"/>
      </w:pPr>
      <w:r>
        <w:t>BGH, Urteil vom 12.07.2018, III ZR 183/17: Der Übergang eines Nutzungsvertrags über ein soziales Netzwerk ist nach den Grundsätzen der Universalsukzession zu beurteilen; digitale Kommunikationsinhalte werden nicht allein wegen ihres persönlichen Charakters aus dem Nachlass gelöst. Für die Akte ist zu prüfen, welche Plattformverträge Armin selbst geschlossen hat und welche Zugangsvoraussetzungen vertraglich dokumentiert sind.</w:t>
      </w:r>
    </w:p>
    <w:p>
      <w:pPr>
        <w:keepLines w:val="0"/>
      </w:pPr>
      <w:r>
        <w:t>BGH, Beschluss vom 27.08.2020, III ZB 30/20: Ein tituliertes Zugangsrecht darf nicht durch eine bloße Datenkopie oder ein anderes Surrogat verkürzt werden. Der Anker betrifft die Erfüllung und Vollstreckung eines konkreten Titels; er ersetzt nicht die Feststellung, wer hier anspruchsberechtigt ist.</w:t>
      </w:r>
    </w:p>
    <w:p>
      <w:pPr>
        <w:pStyle w:val="Heading1"/>
      </w:pPr>
      <w:r>
        <w:t>3. Normen- und Tatsachenkarte</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trPr>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Thema</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Normenanker</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Benötigte Tatsache</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Gegenposition</w:t>
            </w:r>
          </w:p>
        </w:tc>
      </w:tr>
      <w:tr>
        <w:tc>
          <w:tcPr>
            <w:tcW w:type="dxa" w:w="2436"/>
            <w:vAlign w:val="center"/>
            <w:tcMar>
              <w:top w:w="90" w:type="dxa"/>
              <w:start w:w="100" w:type="dxa"/>
              <w:bottom w:w="90" w:type="dxa"/>
              <w:end w:w="100" w:type="dxa"/>
            </w:tcMar>
          </w:tcPr>
          <w:p>
            <w:pPr>
              <w:spacing w:after="30"/>
            </w:pPr>
            <w:r>
              <w:rPr>
                <w:rFonts w:ascii="Arial" w:hAnsi="Arial"/>
                <w:sz w:val="17"/>
              </w:rPr>
              <w:t>Vertragsübergang Plattform</w:t>
            </w:r>
          </w:p>
        </w:tc>
        <w:tc>
          <w:tcPr>
            <w:tcW w:type="dxa" w:w="2436"/>
            <w:vAlign w:val="center"/>
            <w:tcMar>
              <w:top w:w="90" w:type="dxa"/>
              <w:start w:w="100" w:type="dxa"/>
              <w:bottom w:w="90" w:type="dxa"/>
              <w:end w:w="100" w:type="dxa"/>
            </w:tcMar>
          </w:tcPr>
          <w:p>
            <w:pPr>
              <w:spacing w:after="30"/>
            </w:pPr>
            <w:r>
              <w:rPr>
                <w:rFonts w:ascii="Arial" w:hAnsi="Arial"/>
                <w:sz w:val="17"/>
              </w:rPr>
              <w:t>Paragraf 1922 BGB</w:t>
            </w:r>
          </w:p>
        </w:tc>
        <w:tc>
          <w:tcPr>
            <w:tcW w:type="dxa" w:w="2436"/>
            <w:vAlign w:val="center"/>
            <w:tcMar>
              <w:top w:w="90" w:type="dxa"/>
              <w:start w:w="100" w:type="dxa"/>
              <w:bottom w:w="90" w:type="dxa"/>
              <w:end w:w="100" w:type="dxa"/>
            </w:tcMar>
          </w:tcPr>
          <w:p>
            <w:pPr>
              <w:spacing w:after="30"/>
            </w:pPr>
            <w:r>
              <w:rPr>
                <w:rFonts w:ascii="Arial" w:hAnsi="Arial"/>
                <w:sz w:val="17"/>
              </w:rPr>
              <w:t>Vertragspartner, Kontotyp, Bedingungen</w:t>
            </w:r>
          </w:p>
        </w:tc>
        <w:tc>
          <w:tcPr>
            <w:tcW w:type="dxa" w:w="2436"/>
            <w:vAlign w:val="center"/>
            <w:tcMar>
              <w:top w:w="90" w:type="dxa"/>
              <w:start w:w="100" w:type="dxa"/>
              <w:bottom w:w="90" w:type="dxa"/>
              <w:end w:w="100" w:type="dxa"/>
            </w:tcMar>
          </w:tcPr>
          <w:p>
            <w:pPr>
              <w:spacing w:after="30"/>
            </w:pPr>
            <w:r>
              <w:rPr>
                <w:rFonts w:ascii="Arial" w:hAnsi="Arial"/>
                <w:sz w:val="17"/>
              </w:rPr>
              <w:t>höchstpersönliche oder lizenzbezogene Beschränkung</w:t>
            </w:r>
          </w:p>
        </w:tc>
      </w:tr>
      <w:tr>
        <w:tc>
          <w:tcPr>
            <w:tcW w:type="dxa" w:w="2436"/>
            <w:vAlign w:val="center"/>
            <w:tcMar>
              <w:top w:w="90" w:type="dxa"/>
              <w:start w:w="100" w:type="dxa"/>
              <w:bottom w:w="90" w:type="dxa"/>
              <w:end w:w="100" w:type="dxa"/>
            </w:tcMar>
            <w:shd w:fill="F2F4F5"/>
          </w:tcPr>
          <w:p>
            <w:pPr>
              <w:spacing w:after="30"/>
            </w:pPr>
            <w:r>
              <w:rPr>
                <w:rFonts w:ascii="Arial" w:hAnsi="Arial"/>
                <w:sz w:val="17"/>
              </w:rPr>
              <w:t>Nachlassbesitz und Auskunft</w:t>
            </w:r>
          </w:p>
        </w:tc>
        <w:tc>
          <w:tcPr>
            <w:tcW w:type="dxa" w:w="2436"/>
            <w:vAlign w:val="center"/>
            <w:tcMar>
              <w:top w:w="90" w:type="dxa"/>
              <w:start w:w="100" w:type="dxa"/>
              <w:bottom w:w="90" w:type="dxa"/>
              <w:end w:w="100" w:type="dxa"/>
            </w:tcMar>
            <w:shd w:fill="F2F4F5"/>
          </w:tcPr>
          <w:p>
            <w:pPr>
              <w:spacing w:after="30"/>
            </w:pPr>
            <w:r>
              <w:rPr>
                <w:rFonts w:ascii="Arial" w:hAnsi="Arial"/>
                <w:sz w:val="17"/>
              </w:rPr>
              <w:t>Paragrafen 2018, 2027 BGB</w:t>
            </w:r>
          </w:p>
        </w:tc>
        <w:tc>
          <w:tcPr>
            <w:tcW w:type="dxa" w:w="2436"/>
            <w:vAlign w:val="center"/>
            <w:tcMar>
              <w:top w:w="90" w:type="dxa"/>
              <w:start w:w="100" w:type="dxa"/>
              <w:bottom w:w="90" w:type="dxa"/>
              <w:end w:w="100" w:type="dxa"/>
            </w:tcMar>
            <w:shd w:fill="F2F4F5"/>
          </w:tcPr>
          <w:p>
            <w:pPr>
              <w:spacing w:after="30"/>
            </w:pPr>
            <w:r>
              <w:rPr>
                <w:rFonts w:ascii="Arial" w:hAnsi="Arial"/>
                <w:sz w:val="17"/>
              </w:rPr>
              <w:t>Besitzgrund und Eigenrechtsbehauptung Ralfs</w:t>
            </w:r>
          </w:p>
        </w:tc>
        <w:tc>
          <w:tcPr>
            <w:tcW w:type="dxa" w:w="2436"/>
            <w:vAlign w:val="center"/>
            <w:tcMar>
              <w:top w:w="90" w:type="dxa"/>
              <w:start w:w="100" w:type="dxa"/>
              <w:bottom w:w="90" w:type="dxa"/>
              <w:end w:w="100" w:type="dxa"/>
            </w:tcMar>
            <w:shd w:fill="F2F4F5"/>
          </w:tcPr>
          <w:p>
            <w:pPr>
              <w:spacing w:after="30"/>
            </w:pPr>
            <w:r>
              <w:rPr>
                <w:rFonts w:ascii="Arial" w:hAnsi="Arial"/>
                <w:sz w:val="17"/>
              </w:rPr>
              <w:t>bloße Verwahrung oder eigenes Recht</w:t>
            </w:r>
          </w:p>
        </w:tc>
      </w:tr>
      <w:tr>
        <w:tc>
          <w:tcPr>
            <w:tcW w:type="dxa" w:w="2436"/>
            <w:vAlign w:val="center"/>
            <w:tcMar>
              <w:top w:w="90" w:type="dxa"/>
              <w:start w:w="100" w:type="dxa"/>
              <w:bottom w:w="90" w:type="dxa"/>
              <w:end w:w="100" w:type="dxa"/>
            </w:tcMar>
          </w:tcPr>
          <w:p>
            <w:pPr>
              <w:spacing w:after="30"/>
            </w:pPr>
            <w:r>
              <w:rPr>
                <w:rFonts w:ascii="Arial" w:hAnsi="Arial"/>
                <w:sz w:val="17"/>
              </w:rPr>
              <w:t>Verwaltung bei mehreren Berechtigten</w:t>
            </w:r>
          </w:p>
        </w:tc>
        <w:tc>
          <w:tcPr>
            <w:tcW w:type="dxa" w:w="2436"/>
            <w:vAlign w:val="center"/>
            <w:tcMar>
              <w:top w:w="90" w:type="dxa"/>
              <w:start w:w="100" w:type="dxa"/>
              <w:bottom w:w="90" w:type="dxa"/>
              <w:end w:w="100" w:type="dxa"/>
            </w:tcMar>
          </w:tcPr>
          <w:p>
            <w:pPr>
              <w:spacing w:after="30"/>
            </w:pPr>
            <w:r>
              <w:rPr>
                <w:rFonts w:ascii="Arial" w:hAnsi="Arial"/>
                <w:sz w:val="17"/>
              </w:rPr>
              <w:t>Paragrafen 2038, 2039 BGB</w:t>
            </w:r>
          </w:p>
        </w:tc>
        <w:tc>
          <w:tcPr>
            <w:tcW w:type="dxa" w:w="2436"/>
            <w:vAlign w:val="center"/>
            <w:tcMar>
              <w:top w:w="90" w:type="dxa"/>
              <w:start w:w="100" w:type="dxa"/>
              <w:bottom w:w="90" w:type="dxa"/>
              <w:end w:w="100" w:type="dxa"/>
            </w:tcMar>
          </w:tcPr>
          <w:p>
            <w:pPr>
              <w:spacing w:after="30"/>
            </w:pPr>
            <w:r>
              <w:rPr>
                <w:rFonts w:ascii="Arial" w:hAnsi="Arial"/>
                <w:sz w:val="17"/>
              </w:rPr>
              <w:t>Erbenstellung und Maßnahmeart</w:t>
            </w:r>
          </w:p>
        </w:tc>
        <w:tc>
          <w:tcPr>
            <w:tcW w:type="dxa" w:w="2436"/>
            <w:vAlign w:val="center"/>
            <w:tcMar>
              <w:top w:w="90" w:type="dxa"/>
              <w:start w:w="100" w:type="dxa"/>
              <w:bottom w:w="90" w:type="dxa"/>
              <w:end w:w="100" w:type="dxa"/>
            </w:tcMar>
          </w:tcPr>
          <w:p>
            <w:pPr>
              <w:spacing w:after="30"/>
            </w:pPr>
            <w:r>
              <w:rPr>
                <w:rFonts w:ascii="Arial" w:hAnsi="Arial"/>
                <w:sz w:val="17"/>
              </w:rPr>
              <w:t>notwendige Sicherung versus Verwertung</w:t>
            </w:r>
          </w:p>
        </w:tc>
      </w:tr>
      <w:tr>
        <w:tc>
          <w:tcPr>
            <w:tcW w:type="dxa" w:w="2436"/>
            <w:vAlign w:val="center"/>
            <w:tcMar>
              <w:top w:w="90" w:type="dxa"/>
              <w:start w:w="100" w:type="dxa"/>
              <w:bottom w:w="90" w:type="dxa"/>
              <w:end w:w="100" w:type="dxa"/>
            </w:tcMar>
            <w:shd w:fill="F2F4F5"/>
          </w:tcPr>
          <w:p>
            <w:pPr>
              <w:spacing w:after="30"/>
            </w:pPr>
            <w:r>
              <w:rPr>
                <w:rFonts w:ascii="Arial" w:hAnsi="Arial"/>
                <w:sz w:val="17"/>
              </w:rPr>
              <w:t>Urheberrecht</w:t>
            </w:r>
          </w:p>
        </w:tc>
        <w:tc>
          <w:tcPr>
            <w:tcW w:type="dxa" w:w="2436"/>
            <w:vAlign w:val="center"/>
            <w:tcMar>
              <w:top w:w="90" w:type="dxa"/>
              <w:start w:w="100" w:type="dxa"/>
              <w:bottom w:w="90" w:type="dxa"/>
              <w:end w:w="100" w:type="dxa"/>
            </w:tcMar>
            <w:shd w:fill="F2F4F5"/>
          </w:tcPr>
          <w:p>
            <w:pPr>
              <w:spacing w:after="30"/>
            </w:pPr>
            <w:r>
              <w:rPr>
                <w:rFonts w:ascii="Arial" w:hAnsi="Arial"/>
                <w:sz w:val="17"/>
              </w:rPr>
              <w:t>Paragrafen 28, 64 UrhG</w:t>
            </w:r>
          </w:p>
        </w:tc>
        <w:tc>
          <w:tcPr>
            <w:tcW w:type="dxa" w:w="2436"/>
            <w:vAlign w:val="center"/>
            <w:tcMar>
              <w:top w:w="90" w:type="dxa"/>
              <w:start w:w="100" w:type="dxa"/>
              <w:bottom w:w="90" w:type="dxa"/>
              <w:end w:w="100" w:type="dxa"/>
            </w:tcMar>
            <w:shd w:fill="F2F4F5"/>
          </w:tcPr>
          <w:p>
            <w:pPr>
              <w:spacing w:after="30"/>
            </w:pPr>
            <w:r>
              <w:rPr>
                <w:rFonts w:ascii="Arial" w:hAnsi="Arial"/>
                <w:sz w:val="17"/>
              </w:rPr>
              <w:t>Urheberschaft, Bearbeitungsanteile, Verträge</w:t>
            </w:r>
          </w:p>
        </w:tc>
        <w:tc>
          <w:tcPr>
            <w:tcW w:type="dxa" w:w="2436"/>
            <w:vAlign w:val="center"/>
            <w:tcMar>
              <w:top w:w="90" w:type="dxa"/>
              <w:start w:w="100" w:type="dxa"/>
              <w:bottom w:w="90" w:type="dxa"/>
              <w:end w:w="100" w:type="dxa"/>
            </w:tcMar>
            <w:shd w:fill="F2F4F5"/>
          </w:tcPr>
          <w:p>
            <w:pPr>
              <w:spacing w:after="30"/>
            </w:pPr>
            <w:r>
              <w:rPr>
                <w:rFonts w:ascii="Arial" w:hAnsi="Arial"/>
                <w:sz w:val="17"/>
              </w:rPr>
              <w:t>eigene Miturheberschaft oder Nutzungsrecht</w:t>
            </w:r>
          </w:p>
        </w:tc>
      </w:tr>
      <w:tr>
        <w:tc>
          <w:tcPr>
            <w:tcW w:type="dxa" w:w="2436"/>
            <w:vAlign w:val="center"/>
            <w:tcMar>
              <w:top w:w="90" w:type="dxa"/>
              <w:start w:w="100" w:type="dxa"/>
              <w:bottom w:w="90" w:type="dxa"/>
              <w:end w:w="100" w:type="dxa"/>
            </w:tcMar>
          </w:tcPr>
          <w:p>
            <w:pPr>
              <w:spacing w:after="30"/>
            </w:pPr>
            <w:r>
              <w:rPr>
                <w:rFonts w:ascii="Arial" w:hAnsi="Arial"/>
                <w:sz w:val="17"/>
              </w:rPr>
              <w:t>Kundendaten</w:t>
            </w:r>
          </w:p>
        </w:tc>
        <w:tc>
          <w:tcPr>
            <w:tcW w:type="dxa" w:w="2436"/>
            <w:vAlign w:val="center"/>
            <w:tcMar>
              <w:top w:w="90" w:type="dxa"/>
              <w:start w:w="100" w:type="dxa"/>
              <w:bottom w:w="90" w:type="dxa"/>
              <w:end w:w="100" w:type="dxa"/>
            </w:tcMar>
          </w:tcPr>
          <w:p>
            <w:pPr>
              <w:spacing w:after="30"/>
            </w:pPr>
            <w:r>
              <w:rPr>
                <w:rFonts w:ascii="Arial" w:hAnsi="Arial"/>
                <w:sz w:val="17"/>
              </w:rPr>
              <w:t>Vertrags- und Persönlichkeitsrechte</w:t>
            </w:r>
          </w:p>
        </w:tc>
        <w:tc>
          <w:tcPr>
            <w:tcW w:type="dxa" w:w="2436"/>
            <w:vAlign w:val="center"/>
            <w:tcMar>
              <w:top w:w="90" w:type="dxa"/>
              <w:start w:w="100" w:type="dxa"/>
              <w:bottom w:w="90" w:type="dxa"/>
              <w:end w:w="100" w:type="dxa"/>
            </w:tcMar>
          </w:tcPr>
          <w:p>
            <w:pPr>
              <w:spacing w:after="30"/>
            </w:pPr>
            <w:r>
              <w:rPr>
                <w:rFonts w:ascii="Arial" w:hAnsi="Arial"/>
                <w:sz w:val="17"/>
              </w:rPr>
              <w:t>Auftragszweck, Releases, Löschbegehren</w:t>
            </w:r>
          </w:p>
        </w:tc>
        <w:tc>
          <w:tcPr>
            <w:tcW w:type="dxa" w:w="2436"/>
            <w:vAlign w:val="center"/>
            <w:tcMar>
              <w:top w:w="90" w:type="dxa"/>
              <w:start w:w="100" w:type="dxa"/>
              <w:bottom w:w="90" w:type="dxa"/>
              <w:end w:w="100" w:type="dxa"/>
            </w:tcMar>
          </w:tcPr>
          <w:p>
            <w:pPr>
              <w:spacing w:after="30"/>
            </w:pPr>
            <w:r>
              <w:rPr>
                <w:rFonts w:ascii="Arial" w:hAnsi="Arial"/>
                <w:sz w:val="17"/>
              </w:rPr>
              <w:t>Aufbewahrung zur Vertragsabwicklung</w:t>
            </w:r>
          </w:p>
        </w:tc>
      </w:tr>
    </w:tbl>
    <w:p>
      <w:pPr>
        <w:pStyle w:val="Heading1"/>
      </w:pPr>
      <w:r>
        <w:t>4. Beweis- und Sicherungsbedarf</w:t>
      </w:r>
    </w:p>
    <w:p>
      <w:pPr>
        <w:keepLines w:val="0"/>
      </w:pPr>
      <w:r>
        <w:t>Vor einer materiellen Auswertung sollte ein Sachverständiger Seriennummern, Systemzeit, Datenträgerzustand, vorhandene Nutzerkonten, Protokolle und Prüfsummen festhalten. Eine forensische Kopie muss vom Arbeitszugriff getrennt werden. Aussagen über den Änderungszeitpunkt 04.05.2026 bleiben ohne Zeitzonen- und Systemprüfung vorläufig.</w:t>
      </w:r>
    </w:p>
    <w:p>
      <w:pPr>
        <w:keepLines w:val="0"/>
      </w:pPr>
      <w:r>
        <w:t>Die Handakte soll bei jedem Rechtsprechungsanker zwischen amtlich geprüftem Entscheidungssatz, daraus gezogener Arbeitshypothese und noch ungeklärter Übertragbarkeit unterscheiden.</w:t>
      </w:r>
    </w:p>
    <w:p>
      <w:pPr>
        <w:pStyle w:val="Heading1"/>
      </w:pPr>
      <w:r>
        <w:t>5. Mögliche Arbeitsprodukte</w:t>
      </w:r>
    </w:p>
    <w:p>
      <w:pPr>
        <w:keepLines w:val="0"/>
      </w:pPr>
      <w:r>
        <w:t>Je nach weiterer Tatsachenlage kommen ein Sicherungsprotokoll, eine abgestimmte Zwischenanweisung an Anbieter, ein Erbscheinsantrag, ein außergerichtliches Herausgabe- und Auskunftsverlangen sowie ein gerichtlicher Sicherungsantrag in Betracht. Auswahl und Antragstext bleiben bis zur Klärung von Erbenstellung, Besitzgrund und Dringlichkeit offen.</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Susanne Voll-Herzberg, Rechtsanwältin und Fachanwältin für Erbrecht | Anderkonto DE27 1002 0500 0088 4100 17 | BIC BFSWDE33BER | St.-Nr. 34/582/01947 | Berufshaftpflicht: JurAssekuranz AG, Berlin</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Kanzlei Voll-Herzberg</w:t>
          </w:r>
        </w:p>
        <w:p>
          <w:pPr>
            <w:spacing w:after="0"/>
          </w:pPr>
          <w:r>
            <w:rPr>
              <w:color w:val="6B7378"/>
              <w:sz w:val="15"/>
            </w:rPr>
            <w:t>Erbrecht und Medienrecht | Münzstraße 21 | 10178 Berlin</w:t>
          </w:r>
        </w:p>
      </w:tc>
      <w:tc>
        <w:tcPr>
          <w:tcW w:type="dxa" w:w="4706"/>
        </w:tcPr>
        <w:p>
          <w:pPr>
            <w:spacing w:after="20"/>
            <w:jc w:val="right"/>
          </w:pPr>
          <w:r>
            <w:rPr>
              <w:b/>
              <w:color w:val="17324D"/>
              <w:sz w:val="18"/>
            </w:rPr>
            <w:t>Nachlass Lohse</w:t>
          </w:r>
        </w:p>
        <w:p>
          <w:pPr>
            <w:spacing w:after="0"/>
            <w:jc w:val="right"/>
          </w:pPr>
          <w:r>
            <w:rPr>
              <w:color w:val="6B7378"/>
              <w:sz w:val="15"/>
            </w:rPr>
            <w:t>Aktenzeichen 26-ERB-0417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Voll-Herzberg</dc:creator>
  <cp:keywords/>
  <dc:description>generated by python-docx</dc:description>
  <cp:lastModifiedBy>Kanzlei Voll-Herzberg</cp:lastModifiedBy>
  <cp:revision>1</cp:revision>
  <dcterms:created xsi:type="dcterms:W3CDTF">2026-07-15T12:00:00Z</dcterms:created>
  <dcterms:modified xsi:type="dcterms:W3CDTF">2026-07-15T12:00:00Z</dcterms:modified>
  <cp:category/>
</cp:coreProperties>
</file>