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Aufforderung zur neutralen Datensicherung – Entwurf</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Empfänger</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Herrn Ralf Lohse, Schönhauser Allee 132, 10437 Berlin</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Datum</w:t>
            </w:r>
          </w:p>
        </w:tc>
        <w:tc>
          <w:tcPr>
            <w:tcW w:type="dxa" w:w="4872"/>
            <w:vAlign w:val="center"/>
            <w:tcMar>
              <w:top w:w="90" w:type="dxa"/>
              <w:start w:w="100" w:type="dxa"/>
              <w:bottom w:w="90" w:type="dxa"/>
              <w:end w:w="100" w:type="dxa"/>
            </w:tcMar>
          </w:tcPr>
          <w:p>
            <w:pPr>
              <w:spacing w:after="30"/>
            </w:pPr>
            <w:r>
              <w:rPr>
                <w:rFonts w:ascii="Arial" w:hAnsi="Arial"/>
                <w:sz w:val="17"/>
              </w:rPr>
              <w:t>07.07.2026</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Bezug</w:t>
            </w:r>
          </w:p>
        </w:tc>
        <w:tc>
          <w:tcPr>
            <w:tcW w:type="dxa" w:w="4872"/>
            <w:vAlign w:val="center"/>
            <w:tcMar>
              <w:top w:w="90" w:type="dxa"/>
              <w:start w:w="100" w:type="dxa"/>
              <w:bottom w:w="90" w:type="dxa"/>
              <w:end w:w="100" w:type="dxa"/>
            </w:tcMar>
            <w:shd w:fill="F2F4F5"/>
          </w:tcPr>
          <w:p>
            <w:pPr>
              <w:spacing w:after="30"/>
            </w:pPr>
            <w:r>
              <w:rPr>
                <w:rFonts w:ascii="Arial" w:hAnsi="Arial"/>
                <w:sz w:val="17"/>
              </w:rPr>
              <w:t>Ihre Stellungnahme vom 26.06.2026</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Versand</w:t>
            </w:r>
          </w:p>
        </w:tc>
        <w:tc>
          <w:tcPr>
            <w:tcW w:type="dxa" w:w="4872"/>
            <w:vAlign w:val="center"/>
            <w:tcMar>
              <w:top w:w="90" w:type="dxa"/>
              <w:start w:w="100" w:type="dxa"/>
              <w:bottom w:w="90" w:type="dxa"/>
              <w:end w:w="100" w:type="dxa"/>
            </w:tcMar>
          </w:tcPr>
          <w:p>
            <w:pPr>
              <w:spacing w:after="30"/>
            </w:pPr>
            <w:r>
              <w:rPr>
                <w:rFonts w:ascii="Arial" w:hAnsi="Arial"/>
                <w:sz w:val="17"/>
              </w:rPr>
              <w:t>noch nicht freigegeben</w:t>
            </w:r>
          </w:p>
        </w:tc>
      </w:tr>
    </w:tbl>
    <w:p/>
    <w:p>
      <w:pPr>
        <w:pStyle w:val="Heading1"/>
      </w:pPr>
      <w:r>
        <w:t>1. Sicherungstermin</w:t>
      </w:r>
    </w:p>
    <w:p>
      <w:pPr>
        <w:keepLines w:val="0"/>
      </w:pPr>
      <w:r>
        <w:t>Sehr geehrter Herr Lohse, unsere Mandantin stimmt einer neutralen technischen Sicherung grundsätzlich zu. Sie schlägt den 13.07.2026 um 10:00 Uhr im Sachverständigenbüro Nissen, Torstraße 149, Berlin, vor. Bitte bestätigen Sie bis 09.07.2026, ob Sie den Rechner samt Netzteil, externen Datenträgern und vorhandenen Zugangshinweisen unverändert dorthin bringen.</w:t>
      </w:r>
    </w:p>
    <w:p>
      <w:pPr>
        <w:pStyle w:val="Heading1"/>
      </w:pPr>
      <w:r>
        <w:t>2. Übergabe- und Prüfprotokoll</w:t>
      </w:r>
    </w:p>
    <w:p>
      <w:pPr>
        <w:keepLines w:val="0"/>
      </w:pPr>
      <w:r>
        <w:t>Vor dem Einschalten sollen Hersteller, Modell, Seriennummer, Gehäusesiegel, angeschlossene Datenträger und aktuelle Verwahrung fotografisch protokolliert werden. Danach sollen Systemzeit, Benutzerkonten und Datenträger lediglich lesend erfasst und Prüfsummen einer vollständigen Kopie gebildet werden. Jede Person erhält das unterschriebene Protokoll; die Originalhardware verbleibt bis zu einer Vereinbarung versiegelt beim Sachverständigen.</w:t>
      </w:r>
    </w:p>
    <w:p>
      <w:pPr>
        <w:pStyle w:val="Heading1"/>
      </w:pPr>
      <w:r>
        <w:t>3. Bis dahin einzuhaltende Maßnahmen</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Maßnahme</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Umfang</w:t>
            </w:r>
          </w:p>
        </w:tc>
      </w:tr>
      <w:tr>
        <w:tc>
          <w:tcPr>
            <w:tcW w:type="dxa" w:w="4872"/>
            <w:vAlign w:val="center"/>
            <w:tcMar>
              <w:top w:w="90" w:type="dxa"/>
              <w:start w:w="100" w:type="dxa"/>
              <w:bottom w:w="90" w:type="dxa"/>
              <w:end w:w="100" w:type="dxa"/>
            </w:tcMar>
          </w:tcPr>
          <w:p>
            <w:pPr>
              <w:spacing w:after="30"/>
            </w:pPr>
            <w:r>
              <w:rPr>
                <w:rFonts w:ascii="Arial" w:hAnsi="Arial"/>
                <w:sz w:val="17"/>
              </w:rPr>
              <w:t>Keine Änderung</w:t>
            </w:r>
          </w:p>
        </w:tc>
        <w:tc>
          <w:tcPr>
            <w:tcW w:type="dxa" w:w="4872"/>
            <w:vAlign w:val="center"/>
            <w:tcMar>
              <w:top w:w="90" w:type="dxa"/>
              <w:start w:w="100" w:type="dxa"/>
              <w:bottom w:w="90" w:type="dxa"/>
              <w:end w:w="100" w:type="dxa"/>
            </w:tcMar>
          </w:tcPr>
          <w:p>
            <w:pPr>
              <w:spacing w:after="30"/>
            </w:pPr>
            <w:r>
              <w:rPr>
                <w:rFonts w:ascii="Arial" w:hAnsi="Arial"/>
                <w:sz w:val="17"/>
              </w:rPr>
              <w:t>kein Start, Update, Löschen, Umbenennen oder Synchronisieren</w:t>
            </w:r>
          </w:p>
        </w:tc>
      </w:tr>
      <w:tr>
        <w:tc>
          <w:tcPr>
            <w:tcW w:type="dxa" w:w="4872"/>
            <w:vAlign w:val="center"/>
            <w:tcMar>
              <w:top w:w="90" w:type="dxa"/>
              <w:start w:w="100" w:type="dxa"/>
              <w:bottom w:w="90" w:type="dxa"/>
              <w:end w:w="100" w:type="dxa"/>
            </w:tcMar>
            <w:shd w:fill="F2F4F5"/>
          </w:tcPr>
          <w:p>
            <w:pPr>
              <w:spacing w:after="30"/>
            </w:pPr>
            <w:r>
              <w:rPr>
                <w:rFonts w:ascii="Arial" w:hAnsi="Arial"/>
                <w:sz w:val="17"/>
              </w:rPr>
              <w:t>Keine Verwertung</w:t>
            </w:r>
          </w:p>
        </w:tc>
        <w:tc>
          <w:tcPr>
            <w:tcW w:type="dxa" w:w="4872"/>
            <w:vAlign w:val="center"/>
            <w:tcMar>
              <w:top w:w="90" w:type="dxa"/>
              <w:start w:w="100" w:type="dxa"/>
              <w:bottom w:w="90" w:type="dxa"/>
              <w:end w:w="100" w:type="dxa"/>
            </w:tcMar>
            <w:shd w:fill="F2F4F5"/>
          </w:tcPr>
          <w:p>
            <w:pPr>
              <w:spacing w:after="30"/>
            </w:pPr>
            <w:r>
              <w:rPr>
                <w:rFonts w:ascii="Arial" w:hAnsi="Arial"/>
                <w:sz w:val="17"/>
              </w:rPr>
              <w:t>keine Veröffentlichung, Lizenzierung oder Weitergabe von Bildern</w:t>
            </w:r>
          </w:p>
        </w:tc>
      </w:tr>
      <w:tr>
        <w:tc>
          <w:tcPr>
            <w:tcW w:type="dxa" w:w="4872"/>
            <w:vAlign w:val="center"/>
            <w:tcMar>
              <w:top w:w="90" w:type="dxa"/>
              <w:start w:w="100" w:type="dxa"/>
              <w:bottom w:w="90" w:type="dxa"/>
              <w:end w:w="100" w:type="dxa"/>
            </w:tcMar>
          </w:tcPr>
          <w:p>
            <w:pPr>
              <w:spacing w:after="30"/>
            </w:pPr>
            <w:r>
              <w:rPr>
                <w:rFonts w:ascii="Arial" w:hAnsi="Arial"/>
                <w:sz w:val="17"/>
              </w:rPr>
              <w:t>Zugangsprotokoll</w:t>
            </w:r>
          </w:p>
        </w:tc>
        <w:tc>
          <w:tcPr>
            <w:tcW w:type="dxa" w:w="4872"/>
            <w:vAlign w:val="center"/>
            <w:tcMar>
              <w:top w:w="90" w:type="dxa"/>
              <w:start w:w="100" w:type="dxa"/>
              <w:bottom w:w="90" w:type="dxa"/>
              <w:end w:w="100" w:type="dxa"/>
            </w:tcMar>
          </w:tcPr>
          <w:p>
            <w:pPr>
              <w:spacing w:after="30"/>
            </w:pPr>
            <w:r>
              <w:rPr>
                <w:rFonts w:ascii="Arial" w:hAnsi="Arial"/>
                <w:sz w:val="17"/>
              </w:rPr>
              <w:t>vorhandene Logdateien und Portalhistorien nicht bereinigen</w:t>
            </w:r>
          </w:p>
        </w:tc>
      </w:tr>
      <w:tr>
        <w:tc>
          <w:tcPr>
            <w:tcW w:type="dxa" w:w="4872"/>
            <w:vAlign w:val="center"/>
            <w:tcMar>
              <w:top w:w="90" w:type="dxa"/>
              <w:start w:w="100" w:type="dxa"/>
              <w:bottom w:w="90" w:type="dxa"/>
              <w:end w:w="100" w:type="dxa"/>
            </w:tcMar>
            <w:shd w:fill="F2F4F5"/>
          </w:tcPr>
          <w:p>
            <w:pPr>
              <w:spacing w:after="30"/>
            </w:pPr>
            <w:r>
              <w:rPr>
                <w:rFonts w:ascii="Arial" w:hAnsi="Arial"/>
                <w:sz w:val="17"/>
              </w:rPr>
              <w:t>Unterlagen</w:t>
            </w:r>
          </w:p>
        </w:tc>
        <w:tc>
          <w:tcPr>
            <w:tcW w:type="dxa" w:w="4872"/>
            <w:vAlign w:val="center"/>
            <w:tcMar>
              <w:top w:w="90" w:type="dxa"/>
              <w:start w:w="100" w:type="dxa"/>
              <w:bottom w:w="90" w:type="dxa"/>
              <w:end w:w="100" w:type="dxa"/>
            </w:tcMar>
            <w:shd w:fill="F2F4F5"/>
          </w:tcPr>
          <w:p>
            <w:pPr>
              <w:spacing w:after="30"/>
            </w:pPr>
            <w:r>
              <w:rPr>
                <w:rFonts w:ascii="Arial" w:hAnsi="Arial"/>
                <w:sz w:val="17"/>
              </w:rPr>
              <w:t>Rechnungen und Absprachen zu eigenen Retuschearbeiten beifügen</w:t>
            </w:r>
          </w:p>
        </w:tc>
      </w:tr>
    </w:tbl>
    <w:p>
      <w:pPr>
        <w:pStyle w:val="Heading1"/>
      </w:pPr>
      <w:r>
        <w:t>4. Offene Rechtspositionen</w:t>
      </w:r>
    </w:p>
    <w:p>
      <w:pPr>
        <w:keepLines w:val="0"/>
      </w:pPr>
      <w:r>
        <w:t>Die Teilnahme an der Sicherung enthält weder ein Anerkenntnis einer Erbenstellung noch eine Entscheidung über Eigentum, Urheberrechte oder Vergütung. Entsprechendes gilt für Ihre behaupteten Bearbeitungsanteile. Diese Punkte werden nach Sichtung der Originalunterlagen getrennt behandelt.</w:t>
      </w:r>
    </w:p>
    <w:p>
      <w:pPr>
        <w:keepLines w:val="0"/>
      </w:pPr>
      <w:r>
        <w:t>Mit freundlichen Grüßen</w:t>
        <w:br/>
        <w:t>Dr. Susanne Voll-Herzberg</w:t>
        <w:br/>
        <w:t>Rechtsanwältin und Fachanwältin für Erbrecht</w:t>
        <w:br/>
        <w:t>Anlage: Entwurf Übergabeprotokoll</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Susanne Voll-Herzberg, Rechtsanwältin und Fachanwältin für Erbrecht | Anderkonto DE27 1002 0500 0088 4100 17 | BIC BFSWDE33BER | St.-Nr. 34/582/01947 | Berufshaftpflicht: JurAssekuranz AG, Berlin</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Kanzlei Voll-Herzberg</w:t>
          </w:r>
        </w:p>
        <w:p>
          <w:pPr>
            <w:spacing w:after="0"/>
          </w:pPr>
          <w:r>
            <w:rPr>
              <w:color w:val="6B7378"/>
              <w:sz w:val="15"/>
            </w:rPr>
            <w:t>Erbrecht und Medienrecht | Münzstraße 21 | 10178 Berlin</w:t>
          </w:r>
        </w:p>
      </w:tc>
      <w:tc>
        <w:tcPr>
          <w:tcW w:type="dxa" w:w="4706"/>
        </w:tcPr>
        <w:p>
          <w:pPr>
            <w:spacing w:after="20"/>
            <w:jc w:val="right"/>
          </w:pPr>
          <w:r>
            <w:rPr>
              <w:b/>
              <w:color w:val="17324D"/>
              <w:sz w:val="18"/>
            </w:rPr>
            <w:t>Nachlass Lohse</w:t>
          </w:r>
        </w:p>
        <w:p>
          <w:pPr>
            <w:spacing w:after="0"/>
            <w:jc w:val="right"/>
          </w:pPr>
          <w:r>
            <w:rPr>
              <w:color w:val="6B7378"/>
              <w:sz w:val="15"/>
            </w:rPr>
            <w:t>Aktenzeichen 26-ERB-0417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Voll-Herzberg</dc:creator>
  <cp:keywords/>
  <dc:description>generated by python-docx</dc:description>
  <cp:lastModifiedBy>Kanzlei Voll-Herzberg</cp:lastModifiedBy>
  <cp:revision>1</cp:revision>
  <dcterms:created xsi:type="dcterms:W3CDTF">2026-07-15T12:00:00Z</dcterms:created>
  <dcterms:modified xsi:type="dcterms:W3CDTF">2026-07-15T12:00:00Z</dcterms:modified>
  <cp:category/>
</cp:coreProperties>
</file>