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Klageentwurf wegen Auskunft und Herausgabe</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Gericht</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Zuständiges Zivilgericht in Berlin; Zuständigkeit vor Einreichung zu prüfen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Klägerseite</w:t>
            </w:r>
          </w:p>
        </w:tc>
        <w:tc>
          <w:tcPr>
            <w:tcW w:type="dxa" w:w="4872"/>
            <w:vAlign w:val="center"/>
            <w:tcMar>
              <w:top w:w="90" w:type="dxa"/>
              <w:start w:w="100" w:type="dxa"/>
              <w:bottom w:w="90" w:type="dxa"/>
              <w:end w:w="100" w:type="dxa"/>
            </w:tcMar>
          </w:tcPr>
          <w:p>
            <w:pPr>
              <w:spacing w:after="30"/>
            </w:pPr>
            <w:r>
              <w:rPr>
                <w:rFonts w:ascii="Arial" w:hAnsi="Arial"/>
                <w:sz w:val="17"/>
              </w:rPr>
              <w:t>Eva Lohse; Aktivlegitimation abhängig vom Erbnachweis</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Beklagter</w:t>
            </w:r>
          </w:p>
        </w:tc>
        <w:tc>
          <w:tcPr>
            <w:tcW w:type="dxa" w:w="4872"/>
            <w:vAlign w:val="center"/>
            <w:tcMar>
              <w:top w:w="90" w:type="dxa"/>
              <w:start w:w="100" w:type="dxa"/>
              <w:bottom w:w="90" w:type="dxa"/>
              <w:end w:w="100" w:type="dxa"/>
            </w:tcMar>
            <w:shd w:fill="F2F4F5"/>
          </w:tcPr>
          <w:p>
            <w:pPr>
              <w:spacing w:after="30"/>
            </w:pPr>
            <w:r>
              <w:rPr>
                <w:rFonts w:ascii="Arial" w:hAnsi="Arial"/>
                <w:sz w:val="17"/>
              </w:rPr>
              <w:t>Ralf Lohse, Schönhauser Allee 132, 10437 Berlin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Entwurfsstand</w:t>
            </w:r>
          </w:p>
        </w:tc>
        <w:tc>
          <w:tcPr>
            <w:tcW w:type="dxa" w:w="4872"/>
            <w:vAlign w:val="center"/>
            <w:tcMar>
              <w:top w:w="90" w:type="dxa"/>
              <w:start w:w="100" w:type="dxa"/>
              <w:bottom w:w="90" w:type="dxa"/>
              <w:end w:w="100" w:type="dxa"/>
            </w:tcMar>
          </w:tcPr>
          <w:p>
            <w:pPr>
              <w:spacing w:after="30"/>
            </w:pPr>
            <w:r>
              <w:rPr>
                <w:rFonts w:ascii="Arial" w:hAnsi="Arial"/>
                <w:sz w:val="17"/>
              </w:rPr>
              <w:t>08.07.2026; nicht eingereicht</w:t>
            </w:r>
          </w:p>
        </w:tc>
      </w:tr>
    </w:tbl>
    <w:p/>
    <w:p>
      <w:pPr>
        <w:pStyle w:val="Heading1"/>
      </w:pPr>
      <w:r>
        <w:t>1. Vorläufige Anträge</w:t>
      </w:r>
    </w:p>
    <w:p>
      <w:pPr>
        <w:keepLines w:val="0"/>
      </w:pPr>
      <w:r>
        <w:t>Der Beklagte wird verurteilt, Auskunft darüber zu erteilen, welche Geräte und Datenträger des verstorbenen Armin Lohse er seit dem 03.05.2026 an sich genommen, wohin er sie verbracht, wann er sie eingeschaltet und welche Dateien oder Zugänge er seitdem genutzt, kopiert oder verändert hat.</w:t>
      </w:r>
    </w:p>
    <w:p>
      <w:pPr>
        <w:keepLines w:val="0"/>
      </w:pPr>
      <w:r>
        <w:t>Der Beklagte wird verurteilt, den Studiorechner einschließlich Netzteil und der bei der Wegnahme verbundenen Datenträger an einen gerichtlich zu bestimmenden Verwahrer herauszugeben, hilfsweise die technische Bestandsaufnahme und vollständige schreibgeschützte Sicherung durch einen unabhängigen Sachverständigen zu dulden.</w:t>
      </w:r>
    </w:p>
    <w:p>
      <w:pPr>
        <w:keepLines w:val="0"/>
      </w:pPr>
      <w:r>
        <w:t>Der genaue Herausgabeantrag ist nach Klärung von Geräteidentität, Besitzgrund und Erbenstellung zu fassen. Ein Antrag auf Herausgabe sämtlicher Zugangsdaten wird nicht pauschal gestellt, solange eigene oder fremde Konten nicht getrennt sind.</w:t>
      </w:r>
    </w:p>
    <w:p>
      <w:pPr>
        <w:pStyle w:val="Heading1"/>
      </w:pPr>
      <w:r>
        <w:t>2. Sachverhalt</w:t>
      </w:r>
    </w:p>
    <w:p>
      <w:pPr>
        <w:keepLines w:val="0"/>
      </w:pPr>
      <w:r>
        <w:t>Armin Lohse verstarb am 03.05.2026. Der Beklagte nahm am 08.05.2026 den Studiorechner aus dem gemeinsam genutzten Atelier. Die Nachbarin Luise Henkel beobachtete das Verladen. Auf Aufforderung erklärte der Beklagte, das Gerät diene der Datensicherung und enthalte eigene Retuschearbeiten. Er bot später eine neutrale Spiegelung an, gab das Gerät aber nicht heraus.</w:t>
      </w:r>
    </w:p>
    <w:p>
      <w:pPr>
        <w:keepLines w:val="0"/>
      </w:pPr>
      <w:r>
        <w:t>Der Rechner bildet zusammen mit dem im Atelier verbliebenen NAS einen Teil des Bildarchivs. Mehrere laufende Kunden- und Agenturvorgänge lassen sich ohne geordnete Sicherung nicht abschließen. Ein verschlüsselter Container weist nach bisherigem Foto ein Änderungsdatum nach dem Tod auf; Ursache und Aussagekraft sind streitig.</w:t>
      </w:r>
    </w:p>
    <w:p>
      <w:pPr>
        <w:pStyle w:val="Heading1"/>
      </w:pPr>
      <w:r>
        <w:t>3. Beweisangebote</w:t>
      </w:r>
    </w:p>
    <w:tbl>
      <w:tblPr>
        <w:tblStyle w:val="TableGrid"/>
        <w:tblW w:type="auto" w:w="0"/>
        <w:jc w:val="center"/>
        <w:tblLayout w:type="autofit"/>
        <w:tblLook w:firstColumn="1" w:firstRow="1" w:lastColumn="0" w:lastRow="0" w:noHBand="0" w:noVBand="1" w:val="04A0"/>
      </w:tblPr>
      <w:tblGrid>
        <w:gridCol w:w="3248"/>
        <w:gridCol w:w="3248"/>
        <w:gridCol w:w="3248"/>
      </w:tblGrid>
      <w:tr>
        <w:trPr>
          <w:tblHeader w:val="true"/>
        </w:trPr>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Tatsache</w:t>
            </w:r>
          </w:p>
        </w:tc>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Beweismittel</w:t>
            </w:r>
          </w:p>
        </w:tc>
        <w:tc>
          <w:tcPr>
            <w:tcW w:type="dxa" w:w="3248"/>
            <w:vAlign w:val="center"/>
            <w:tcMar>
              <w:top w:w="90" w:type="dxa"/>
              <w:start w:w="100" w:type="dxa"/>
              <w:bottom w:w="90" w:type="dxa"/>
              <w:end w:w="100" w:type="dxa"/>
            </w:tcMar>
            <w:shd w:fill="17324D"/>
          </w:tcPr>
          <w:p>
            <w:pPr>
              <w:spacing w:after="30"/>
            </w:pPr>
            <w:r>
              <w:rPr>
                <w:rFonts w:ascii="Arial" w:hAnsi="Arial"/>
                <w:b/>
                <w:color w:val="FFFFFF"/>
                <w:sz w:val="17"/>
              </w:rPr>
              <w:t>Fundstelle</w:t>
            </w:r>
          </w:p>
        </w:tc>
      </w:tr>
      <w:tr>
        <w:tc>
          <w:tcPr>
            <w:tcW w:type="dxa" w:w="3248"/>
            <w:vAlign w:val="center"/>
            <w:tcMar>
              <w:top w:w="90" w:type="dxa"/>
              <w:start w:w="100" w:type="dxa"/>
              <w:bottom w:w="90" w:type="dxa"/>
              <w:end w:w="100" w:type="dxa"/>
            </w:tcMar>
          </w:tcPr>
          <w:p>
            <w:pPr>
              <w:spacing w:after="30"/>
            </w:pPr>
            <w:r>
              <w:rPr>
                <w:rFonts w:ascii="Arial" w:hAnsi="Arial"/>
                <w:sz w:val="17"/>
              </w:rPr>
              <w:t>Wegnahme am 08.05.2026</w:t>
            </w:r>
          </w:p>
        </w:tc>
        <w:tc>
          <w:tcPr>
            <w:tcW w:type="dxa" w:w="3248"/>
            <w:vAlign w:val="center"/>
            <w:tcMar>
              <w:top w:w="90" w:type="dxa"/>
              <w:start w:w="100" w:type="dxa"/>
              <w:bottom w:w="90" w:type="dxa"/>
              <w:end w:w="100" w:type="dxa"/>
            </w:tcMar>
          </w:tcPr>
          <w:p>
            <w:pPr>
              <w:spacing w:after="30"/>
            </w:pPr>
            <w:r>
              <w:rPr>
                <w:rFonts w:ascii="Arial" w:hAnsi="Arial"/>
                <w:sz w:val="17"/>
              </w:rPr>
              <w:t>Zeugin Luise Henkel</w:t>
            </w:r>
          </w:p>
        </w:tc>
        <w:tc>
          <w:tcPr>
            <w:tcW w:type="dxa" w:w="3248"/>
            <w:vAlign w:val="center"/>
            <w:tcMar>
              <w:top w:w="90" w:type="dxa"/>
              <w:start w:w="100" w:type="dxa"/>
              <w:bottom w:w="90" w:type="dxa"/>
              <w:end w:w="100" w:type="dxa"/>
            </w:tcMar>
          </w:tcPr>
          <w:p>
            <w:pPr>
              <w:spacing w:after="30"/>
            </w:pPr>
            <w:r>
              <w:rPr>
                <w:rFonts w:ascii="Arial" w:hAnsi="Arial"/>
                <w:sz w:val="17"/>
              </w:rPr>
              <w:t>Ateliernachbarin, Veteranenstraße 10</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Herausgabeverweigerung</w:t>
            </w:r>
          </w:p>
        </w:tc>
        <w:tc>
          <w:tcPr>
            <w:tcW w:type="dxa" w:w="3248"/>
            <w:vAlign w:val="center"/>
            <w:tcMar>
              <w:top w:w="90" w:type="dxa"/>
              <w:start w:w="100" w:type="dxa"/>
              <w:bottom w:w="90" w:type="dxa"/>
              <w:end w:w="100" w:type="dxa"/>
            </w:tcMar>
            <w:shd w:fill="F2F4F5"/>
          </w:tcPr>
          <w:p>
            <w:pPr>
              <w:spacing w:after="30"/>
            </w:pPr>
            <w:r>
              <w:rPr>
                <w:rFonts w:ascii="Arial" w:hAnsi="Arial"/>
                <w:sz w:val="17"/>
              </w:rPr>
              <w:t>E-Mail Ralf vom 24.06.2026</w:t>
            </w:r>
          </w:p>
        </w:tc>
        <w:tc>
          <w:tcPr>
            <w:tcW w:type="dxa" w:w="3248"/>
            <w:vAlign w:val="center"/>
            <w:tcMar>
              <w:top w:w="90" w:type="dxa"/>
              <w:start w:w="100" w:type="dxa"/>
              <w:bottom w:w="90" w:type="dxa"/>
              <w:end w:w="100" w:type="dxa"/>
            </w:tcMar>
            <w:shd w:fill="F2F4F5"/>
          </w:tcPr>
          <w:p>
            <w:pPr>
              <w:spacing w:after="30"/>
            </w:pPr>
            <w:r>
              <w:rPr>
                <w:rFonts w:ascii="Arial" w:hAnsi="Arial"/>
                <w:sz w:val="17"/>
              </w:rPr>
              <w:t>E-Mail-Ordner</w:t>
            </w:r>
          </w:p>
        </w:tc>
      </w:tr>
      <w:tr>
        <w:tc>
          <w:tcPr>
            <w:tcW w:type="dxa" w:w="3248"/>
            <w:vAlign w:val="center"/>
            <w:tcMar>
              <w:top w:w="90" w:type="dxa"/>
              <w:start w:w="100" w:type="dxa"/>
              <w:bottom w:w="90" w:type="dxa"/>
              <w:end w:w="100" w:type="dxa"/>
            </w:tcMar>
          </w:tcPr>
          <w:p>
            <w:pPr>
              <w:spacing w:after="30"/>
            </w:pPr>
            <w:r>
              <w:rPr>
                <w:rFonts w:ascii="Arial" w:hAnsi="Arial"/>
                <w:sz w:val="17"/>
              </w:rPr>
              <w:t>Gerätezuordnung</w:t>
            </w:r>
          </w:p>
        </w:tc>
        <w:tc>
          <w:tcPr>
            <w:tcW w:type="dxa" w:w="3248"/>
            <w:vAlign w:val="center"/>
            <w:tcMar>
              <w:top w:w="90" w:type="dxa"/>
              <w:start w:w="100" w:type="dxa"/>
              <w:bottom w:w="90" w:type="dxa"/>
              <w:end w:w="100" w:type="dxa"/>
            </w:tcMar>
          </w:tcPr>
          <w:p>
            <w:pPr>
              <w:spacing w:after="30"/>
            </w:pPr>
            <w:r>
              <w:rPr>
                <w:rFonts w:ascii="Arial" w:hAnsi="Arial"/>
                <w:sz w:val="17"/>
              </w:rPr>
              <w:t>Kaufbeleg und Anlageverzeichnis</w:t>
            </w:r>
          </w:p>
        </w:tc>
        <w:tc>
          <w:tcPr>
            <w:tcW w:type="dxa" w:w="3248"/>
            <w:vAlign w:val="center"/>
            <w:tcMar>
              <w:top w:w="90" w:type="dxa"/>
              <w:start w:w="100" w:type="dxa"/>
              <w:bottom w:w="90" w:type="dxa"/>
              <w:end w:w="100" w:type="dxa"/>
            </w:tcMar>
          </w:tcPr>
          <w:p>
            <w:pPr>
              <w:spacing w:after="30"/>
            </w:pPr>
            <w:r>
              <w:rPr>
                <w:rFonts w:ascii="Arial" w:hAnsi="Arial"/>
                <w:sz w:val="17"/>
              </w:rPr>
              <w:t>Ordner Studio 2023</w:t>
            </w:r>
          </w:p>
        </w:tc>
      </w:tr>
      <w:tr>
        <w:tc>
          <w:tcPr>
            <w:tcW w:type="dxa" w:w="3248"/>
            <w:vAlign w:val="center"/>
            <w:tcMar>
              <w:top w:w="90" w:type="dxa"/>
              <w:start w:w="100" w:type="dxa"/>
              <w:bottom w:w="90" w:type="dxa"/>
              <w:end w:w="100" w:type="dxa"/>
            </w:tcMar>
            <w:shd w:fill="F2F4F5"/>
          </w:tcPr>
          <w:p>
            <w:pPr>
              <w:spacing w:after="30"/>
            </w:pPr>
            <w:r>
              <w:rPr>
                <w:rFonts w:ascii="Arial" w:hAnsi="Arial"/>
                <w:sz w:val="17"/>
              </w:rPr>
              <w:t>Datenzustand</w:t>
            </w:r>
          </w:p>
        </w:tc>
        <w:tc>
          <w:tcPr>
            <w:tcW w:type="dxa" w:w="3248"/>
            <w:vAlign w:val="center"/>
            <w:tcMar>
              <w:top w:w="90" w:type="dxa"/>
              <w:start w:w="100" w:type="dxa"/>
              <w:bottom w:w="90" w:type="dxa"/>
              <w:end w:w="100" w:type="dxa"/>
            </w:tcMar>
            <w:shd w:fill="F2F4F5"/>
          </w:tcPr>
          <w:p>
            <w:pPr>
              <w:spacing w:after="30"/>
            </w:pPr>
            <w:r>
              <w:rPr>
                <w:rFonts w:ascii="Arial" w:hAnsi="Arial"/>
                <w:sz w:val="17"/>
              </w:rPr>
              <w:t>Sachverständigengutachten</w:t>
            </w:r>
          </w:p>
        </w:tc>
        <w:tc>
          <w:tcPr>
            <w:tcW w:type="dxa" w:w="3248"/>
            <w:vAlign w:val="center"/>
            <w:tcMar>
              <w:top w:w="90" w:type="dxa"/>
              <w:start w:w="100" w:type="dxa"/>
              <w:bottom w:w="90" w:type="dxa"/>
              <w:end w:w="100" w:type="dxa"/>
            </w:tcMar>
            <w:shd w:fill="F2F4F5"/>
          </w:tcPr>
          <w:p>
            <w:pPr>
              <w:spacing w:after="30"/>
            </w:pPr>
            <w:r>
              <w:rPr>
                <w:rFonts w:ascii="Arial" w:hAnsi="Arial"/>
                <w:sz w:val="17"/>
              </w:rPr>
              <w:t>nach neutraler Sicherung</w:t>
            </w:r>
          </w:p>
        </w:tc>
      </w:tr>
      <w:tr>
        <w:tc>
          <w:tcPr>
            <w:tcW w:type="dxa" w:w="3248"/>
            <w:vAlign w:val="center"/>
            <w:tcMar>
              <w:top w:w="90" w:type="dxa"/>
              <w:start w:w="100" w:type="dxa"/>
              <w:bottom w:w="90" w:type="dxa"/>
              <w:end w:w="100" w:type="dxa"/>
            </w:tcMar>
          </w:tcPr>
          <w:p>
            <w:pPr>
              <w:spacing w:after="30"/>
            </w:pPr>
            <w:r>
              <w:rPr>
                <w:rFonts w:ascii="Arial" w:hAnsi="Arial"/>
                <w:sz w:val="17"/>
              </w:rPr>
              <w:t>Laufende Aufträge</w:t>
            </w:r>
          </w:p>
        </w:tc>
        <w:tc>
          <w:tcPr>
            <w:tcW w:type="dxa" w:w="3248"/>
            <w:vAlign w:val="center"/>
            <w:tcMar>
              <w:top w:w="90" w:type="dxa"/>
              <w:start w:w="100" w:type="dxa"/>
              <w:bottom w:w="90" w:type="dxa"/>
              <w:end w:w="100" w:type="dxa"/>
            </w:tcMar>
          </w:tcPr>
          <w:p>
            <w:pPr>
              <w:spacing w:after="30"/>
            </w:pPr>
            <w:r>
              <w:rPr>
                <w:rFonts w:ascii="Arial" w:hAnsi="Arial"/>
                <w:sz w:val="17"/>
              </w:rPr>
              <w:t>Nordfenster-Abrechnung und Vertrag Ahlers</w:t>
            </w:r>
          </w:p>
        </w:tc>
        <w:tc>
          <w:tcPr>
            <w:tcW w:type="dxa" w:w="3248"/>
            <w:vAlign w:val="center"/>
            <w:tcMar>
              <w:top w:w="90" w:type="dxa"/>
              <w:start w:w="100" w:type="dxa"/>
              <w:bottom w:w="90" w:type="dxa"/>
              <w:end w:w="100" w:type="dxa"/>
            </w:tcMar>
          </w:tcPr>
          <w:p>
            <w:pPr>
              <w:spacing w:after="30"/>
            </w:pPr>
            <w:r>
              <w:rPr>
                <w:rFonts w:ascii="Arial" w:hAnsi="Arial"/>
                <w:sz w:val="17"/>
              </w:rPr>
              <w:t>Stück 06 / Mandantenordner</w:t>
            </w:r>
          </w:p>
        </w:tc>
      </w:tr>
    </w:tbl>
    <w:p>
      <w:pPr>
        <w:pStyle w:val="Heading1"/>
      </w:pPr>
      <w:r>
        <w:t>4. Rechtliche Arbeitsfragen</w:t>
      </w:r>
    </w:p>
    <w:p>
      <w:pPr>
        <w:keepLines w:val="0"/>
      </w:pPr>
      <w:r>
        <w:t>Zu prüfen sind insbesondere Herausgabe und Auskunft aus erbrechtlichem Besitzrecht, Eigentum, Besitzschutz sowie die Auswirkungen einer ernsthaften Eigenrechtsbehauptung des Beklagten. Paragrafen 2018 und 2027 BGB werden erst nach Feststellung des Besitzgrunds abschließend eingeordnet. Urheber- oder Bearbeitungsrechte können den Umgang mit Dateien beeinflussen, beantworten aber nicht ohne Weiteres die Eigentumsfrage am Gerät.</w:t>
      </w:r>
    </w:p>
    <w:p>
      <w:pPr>
        <w:pStyle w:val="Heading1"/>
      </w:pPr>
      <w:r>
        <w:t>5. Einreichungssperre</w:t>
      </w:r>
    </w:p>
    <w:p>
      <w:pPr>
        <w:keepLines w:val="0"/>
      </w:pPr>
      <w:r>
        <w:t>Vor Einreichung fehlen Erbnachweis, Kaufbeleg mit Seriennummer, Zuständigkeitsprüfung, letzte Fristsetzung und Entscheidung, ob die neutrale Sicherung außergerichtlich zustande kommt. Der Entwurf darf ohne erneute anwaltliche Freigabe nicht versandt werden.</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Susanne Voll-Herzberg, Rechtsanwältin und Fachanwältin für Erbrecht | Anderkonto DE27 1002 0500 0088 4100 17 | BIC BFSWDE33BER | St.-Nr. 34/582/01947 | Berufshaftpflicht: JurAssekuranz AG, Berlin</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Voll-Herzberg</w:t>
          </w:r>
        </w:p>
        <w:p>
          <w:pPr>
            <w:spacing w:after="0"/>
          </w:pPr>
          <w:r>
            <w:rPr>
              <w:color w:val="6B7378"/>
              <w:sz w:val="15"/>
            </w:rPr>
            <w:t>Erbrecht und Medienrecht | Münzstraße 21 | 10178 Berlin</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