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Auftrag zur Bewertung des fotografischen Archivs</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Adressat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Dipl.-Kfm. Johanna Rickert, Sachverständigenbüro Bildwerte</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Datum</w:t>
            </w:r>
          </w:p>
        </w:tc>
        <w:tc>
          <w:tcPr>
            <w:tcW w:type="dxa" w:w="4872"/>
            <w:vAlign w:val="center"/>
            <w:tcMar>
              <w:top w:w="90" w:type="dxa"/>
              <w:start w:w="100" w:type="dxa"/>
              <w:bottom w:w="90" w:type="dxa"/>
              <w:end w:w="100" w:type="dxa"/>
            </w:tcMar>
          </w:tcPr>
          <w:p>
            <w:pPr>
              <w:spacing w:after="30"/>
            </w:pPr>
            <w:r>
              <w:rPr>
                <w:rFonts w:ascii="Arial" w:hAnsi="Arial"/>
                <w:sz w:val="17"/>
              </w:rPr>
              <w:t>09.07.2026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Stichtag</w:t>
            </w:r>
          </w:p>
        </w:tc>
        <w:tc>
          <w:tcPr>
            <w:tcW w:type="dxa" w:w="4872"/>
            <w:vAlign w:val="center"/>
            <w:tcMar>
              <w:top w:w="90" w:type="dxa"/>
              <w:start w:w="100" w:type="dxa"/>
              <w:bottom w:w="90" w:type="dxa"/>
              <w:end w:w="100" w:type="dxa"/>
            </w:tcMar>
            <w:shd w:fill="F2F4F5"/>
          </w:tcPr>
          <w:p>
            <w:pPr>
              <w:spacing w:after="30"/>
            </w:pPr>
            <w:r>
              <w:rPr>
                <w:rFonts w:ascii="Arial" w:hAnsi="Arial"/>
                <w:sz w:val="17"/>
              </w:rPr>
              <w:t>03.05.2026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Auftrag</w:t>
            </w:r>
          </w:p>
        </w:tc>
        <w:tc>
          <w:tcPr>
            <w:tcW w:type="dxa" w:w="4872"/>
            <w:vAlign w:val="center"/>
            <w:tcMar>
              <w:top w:w="90" w:type="dxa"/>
              <w:start w:w="100" w:type="dxa"/>
              <w:bottom w:w="90" w:type="dxa"/>
              <w:end w:w="100" w:type="dxa"/>
            </w:tcMar>
          </w:tcPr>
          <w:p>
            <w:pPr>
              <w:spacing w:after="30"/>
            </w:pPr>
            <w:r>
              <w:rPr>
                <w:rFonts w:ascii="Arial" w:hAnsi="Arial"/>
                <w:sz w:val="17"/>
              </w:rPr>
              <w:t>Angebot und Datenanforderung; keine Wertfestlegung</w:t>
            </w:r>
          </w:p>
        </w:tc>
      </w:tr>
    </w:tbl>
    <w:p/>
    <w:p>
      <w:pPr>
        <w:pStyle w:val="Heading1"/>
      </w:pPr>
      <w:r>
        <w:t>1. Bewertungsgegenstand</w:t>
      </w:r>
    </w:p>
    <w:p>
      <w:pPr>
        <w:keepLines w:val="0"/>
      </w:pPr>
      <w:r>
        <w:t>Zu erfassen sind bestehende Honorarforderungen, laufende Lizenzverträge, historische Serien, unveröffentlichte Aufnahmen und die wirtschaftliche Verwertbarkeit der zugehörigen Metadaten und Releases. Gerätewerte werden getrennt behandelt. Persönliche Erinnerungsbilder und nicht verwertbare Kundendaten erhalten keinen pauschalen Marktwert.</w:t>
      </w:r>
    </w:p>
    <w:p>
      <w:pPr>
        <w:pStyle w:val="Heading1"/>
      </w:pPr>
      <w:r>
        <w:t>2. Vorläufige Ertragsdaten</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Jahr</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Nordfenster netto</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Direktaufträge netto</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Gesamt</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Quelle</w:t>
            </w:r>
          </w:p>
        </w:tc>
      </w:tr>
      <w:tr>
        <w:tc>
          <w:tcPr>
            <w:tcW w:type="dxa" w:w="1949"/>
            <w:vAlign w:val="center"/>
            <w:tcMar>
              <w:top w:w="90" w:type="dxa"/>
              <w:start w:w="100" w:type="dxa"/>
              <w:bottom w:w="90" w:type="dxa"/>
              <w:end w:w="100" w:type="dxa"/>
            </w:tcMar>
          </w:tcPr>
          <w:p>
            <w:pPr>
              <w:spacing w:after="30"/>
            </w:pPr>
            <w:r>
              <w:rPr>
                <w:rFonts w:ascii="Arial" w:hAnsi="Arial"/>
                <w:sz w:val="17"/>
              </w:rPr>
              <w:t>2023</w:t>
            </w:r>
          </w:p>
        </w:tc>
        <w:tc>
          <w:tcPr>
            <w:tcW w:type="dxa" w:w="1949"/>
            <w:vAlign w:val="center"/>
            <w:tcMar>
              <w:top w:w="90" w:type="dxa"/>
              <w:start w:w="100" w:type="dxa"/>
              <w:bottom w:w="90" w:type="dxa"/>
              <w:end w:w="100" w:type="dxa"/>
            </w:tcMar>
          </w:tcPr>
          <w:p>
            <w:pPr>
              <w:spacing w:after="30"/>
            </w:pPr>
            <w:r>
              <w:rPr>
                <w:rFonts w:ascii="Arial" w:hAnsi="Arial"/>
                <w:sz w:val="17"/>
              </w:rPr>
              <w:t>12940,00 EUR</w:t>
            </w:r>
          </w:p>
        </w:tc>
        <w:tc>
          <w:tcPr>
            <w:tcW w:type="dxa" w:w="1949"/>
            <w:vAlign w:val="center"/>
            <w:tcMar>
              <w:top w:w="90" w:type="dxa"/>
              <w:start w:w="100" w:type="dxa"/>
              <w:bottom w:w="90" w:type="dxa"/>
              <w:end w:w="100" w:type="dxa"/>
            </w:tcMar>
          </w:tcPr>
          <w:p>
            <w:pPr>
              <w:spacing w:after="30"/>
            </w:pPr>
            <w:r>
              <w:rPr>
                <w:rFonts w:ascii="Arial" w:hAnsi="Arial"/>
                <w:sz w:val="17"/>
              </w:rPr>
              <w:t>28600,00 EUR</w:t>
            </w:r>
          </w:p>
        </w:tc>
        <w:tc>
          <w:tcPr>
            <w:tcW w:type="dxa" w:w="1949"/>
            <w:vAlign w:val="center"/>
            <w:tcMar>
              <w:top w:w="90" w:type="dxa"/>
              <w:start w:w="100" w:type="dxa"/>
              <w:bottom w:w="90" w:type="dxa"/>
              <w:end w:w="100" w:type="dxa"/>
            </w:tcMar>
          </w:tcPr>
          <w:p>
            <w:pPr>
              <w:spacing w:after="30"/>
            </w:pPr>
            <w:r>
              <w:rPr>
                <w:rFonts w:ascii="Arial" w:hAnsi="Arial"/>
                <w:sz w:val="17"/>
              </w:rPr>
              <w:t>41540,00 EUR</w:t>
            </w:r>
          </w:p>
        </w:tc>
        <w:tc>
          <w:tcPr>
            <w:tcW w:type="dxa" w:w="1949"/>
            <w:vAlign w:val="center"/>
            <w:tcMar>
              <w:top w:w="90" w:type="dxa"/>
              <w:start w:w="100" w:type="dxa"/>
              <w:bottom w:w="90" w:type="dxa"/>
              <w:end w:w="100" w:type="dxa"/>
            </w:tcMar>
          </w:tcPr>
          <w:p>
            <w:pPr>
              <w:spacing w:after="30"/>
            </w:pPr>
            <w:r>
              <w:rPr>
                <w:rFonts w:ascii="Arial" w:hAnsi="Arial"/>
                <w:sz w:val="17"/>
              </w:rPr>
              <w:t>EÜR und Agenturabrechnungen</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2024</w:t>
            </w:r>
          </w:p>
        </w:tc>
        <w:tc>
          <w:tcPr>
            <w:tcW w:type="dxa" w:w="1949"/>
            <w:vAlign w:val="center"/>
            <w:tcMar>
              <w:top w:w="90" w:type="dxa"/>
              <w:start w:w="100" w:type="dxa"/>
              <w:bottom w:w="90" w:type="dxa"/>
              <w:end w:w="100" w:type="dxa"/>
            </w:tcMar>
            <w:shd w:fill="F2F4F5"/>
          </w:tcPr>
          <w:p>
            <w:pPr>
              <w:spacing w:after="30"/>
            </w:pPr>
            <w:r>
              <w:rPr>
                <w:rFonts w:ascii="Arial" w:hAnsi="Arial"/>
                <w:sz w:val="17"/>
              </w:rPr>
              <w:t>11480,00 EUR</w:t>
            </w:r>
          </w:p>
        </w:tc>
        <w:tc>
          <w:tcPr>
            <w:tcW w:type="dxa" w:w="1949"/>
            <w:vAlign w:val="center"/>
            <w:tcMar>
              <w:top w:w="90" w:type="dxa"/>
              <w:start w:w="100" w:type="dxa"/>
              <w:bottom w:w="90" w:type="dxa"/>
              <w:end w:w="100" w:type="dxa"/>
            </w:tcMar>
            <w:shd w:fill="F2F4F5"/>
          </w:tcPr>
          <w:p>
            <w:pPr>
              <w:spacing w:after="30"/>
            </w:pPr>
            <w:r>
              <w:rPr>
                <w:rFonts w:ascii="Arial" w:hAnsi="Arial"/>
                <w:sz w:val="17"/>
              </w:rPr>
              <w:t>24120,00 EUR</w:t>
            </w:r>
          </w:p>
        </w:tc>
        <w:tc>
          <w:tcPr>
            <w:tcW w:type="dxa" w:w="1949"/>
            <w:vAlign w:val="center"/>
            <w:tcMar>
              <w:top w:w="90" w:type="dxa"/>
              <w:start w:w="100" w:type="dxa"/>
              <w:bottom w:w="90" w:type="dxa"/>
              <w:end w:w="100" w:type="dxa"/>
            </w:tcMar>
            <w:shd w:fill="F2F4F5"/>
          </w:tcPr>
          <w:p>
            <w:pPr>
              <w:spacing w:after="30"/>
            </w:pPr>
            <w:r>
              <w:rPr>
                <w:rFonts w:ascii="Arial" w:hAnsi="Arial"/>
                <w:sz w:val="17"/>
              </w:rPr>
              <w:t>35600,00 EUR</w:t>
            </w:r>
          </w:p>
        </w:tc>
        <w:tc>
          <w:tcPr>
            <w:tcW w:type="dxa" w:w="1949"/>
            <w:vAlign w:val="center"/>
            <w:tcMar>
              <w:top w:w="90" w:type="dxa"/>
              <w:start w:w="100" w:type="dxa"/>
              <w:bottom w:w="90" w:type="dxa"/>
              <w:end w:w="100" w:type="dxa"/>
            </w:tcMar>
            <w:shd w:fill="F2F4F5"/>
          </w:tcPr>
          <w:p>
            <w:pPr>
              <w:spacing w:after="30"/>
            </w:pPr>
            <w:r>
              <w:rPr>
                <w:rFonts w:ascii="Arial" w:hAnsi="Arial"/>
                <w:sz w:val="17"/>
              </w:rPr>
              <w:t>EÜR; zwei Stornos</w:t>
            </w:r>
          </w:p>
        </w:tc>
      </w:tr>
      <w:tr>
        <w:tc>
          <w:tcPr>
            <w:tcW w:type="dxa" w:w="1949"/>
            <w:vAlign w:val="center"/>
            <w:tcMar>
              <w:top w:w="90" w:type="dxa"/>
              <w:start w:w="100" w:type="dxa"/>
              <w:bottom w:w="90" w:type="dxa"/>
              <w:end w:w="100" w:type="dxa"/>
            </w:tcMar>
          </w:tcPr>
          <w:p>
            <w:pPr>
              <w:spacing w:after="30"/>
            </w:pPr>
            <w:r>
              <w:rPr>
                <w:rFonts w:ascii="Arial" w:hAnsi="Arial"/>
                <w:sz w:val="17"/>
              </w:rPr>
              <w:t>2025</w:t>
            </w:r>
          </w:p>
        </w:tc>
        <w:tc>
          <w:tcPr>
            <w:tcW w:type="dxa" w:w="1949"/>
            <w:vAlign w:val="center"/>
            <w:tcMar>
              <w:top w:w="90" w:type="dxa"/>
              <w:start w:w="100" w:type="dxa"/>
              <w:bottom w:w="90" w:type="dxa"/>
              <w:end w:w="100" w:type="dxa"/>
            </w:tcMar>
          </w:tcPr>
          <w:p>
            <w:pPr>
              <w:spacing w:after="30"/>
            </w:pPr>
            <w:r>
              <w:rPr>
                <w:rFonts w:ascii="Arial" w:hAnsi="Arial"/>
                <w:sz w:val="17"/>
              </w:rPr>
              <w:t>10220,00 EUR</w:t>
            </w:r>
          </w:p>
        </w:tc>
        <w:tc>
          <w:tcPr>
            <w:tcW w:type="dxa" w:w="1949"/>
            <w:vAlign w:val="center"/>
            <w:tcMar>
              <w:top w:w="90" w:type="dxa"/>
              <w:start w:w="100" w:type="dxa"/>
              <w:bottom w:w="90" w:type="dxa"/>
              <w:end w:w="100" w:type="dxa"/>
            </w:tcMar>
          </w:tcPr>
          <w:p>
            <w:pPr>
              <w:spacing w:after="30"/>
            </w:pPr>
            <w:r>
              <w:rPr>
                <w:rFonts w:ascii="Arial" w:hAnsi="Arial"/>
                <w:sz w:val="17"/>
              </w:rPr>
              <w:t>19600,00 EUR</w:t>
            </w:r>
          </w:p>
        </w:tc>
        <w:tc>
          <w:tcPr>
            <w:tcW w:type="dxa" w:w="1949"/>
            <w:vAlign w:val="center"/>
            <w:tcMar>
              <w:top w:w="90" w:type="dxa"/>
              <w:start w:w="100" w:type="dxa"/>
              <w:bottom w:w="90" w:type="dxa"/>
              <w:end w:w="100" w:type="dxa"/>
            </w:tcMar>
          </w:tcPr>
          <w:p>
            <w:pPr>
              <w:spacing w:after="30"/>
            </w:pPr>
            <w:r>
              <w:rPr>
                <w:rFonts w:ascii="Arial" w:hAnsi="Arial"/>
                <w:sz w:val="17"/>
              </w:rPr>
              <w:t>29820,00 EUR</w:t>
            </w:r>
          </w:p>
        </w:tc>
        <w:tc>
          <w:tcPr>
            <w:tcW w:type="dxa" w:w="1949"/>
            <w:vAlign w:val="center"/>
            <w:tcMar>
              <w:top w:w="90" w:type="dxa"/>
              <w:start w:w="100" w:type="dxa"/>
              <w:bottom w:w="90" w:type="dxa"/>
              <w:end w:w="100" w:type="dxa"/>
            </w:tcMar>
          </w:tcPr>
          <w:p>
            <w:pPr>
              <w:spacing w:after="30"/>
            </w:pPr>
            <w:r>
              <w:rPr>
                <w:rFonts w:ascii="Arial" w:hAnsi="Arial"/>
                <w:sz w:val="17"/>
              </w:rPr>
              <w:t>EÜR; längere Erkrankung</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2026 bis Tod</w:t>
            </w:r>
          </w:p>
        </w:tc>
        <w:tc>
          <w:tcPr>
            <w:tcW w:type="dxa" w:w="1949"/>
            <w:vAlign w:val="center"/>
            <w:tcMar>
              <w:top w:w="90" w:type="dxa"/>
              <w:start w:w="100" w:type="dxa"/>
              <w:bottom w:w="90" w:type="dxa"/>
              <w:end w:w="100" w:type="dxa"/>
            </w:tcMar>
            <w:shd w:fill="F2F4F5"/>
          </w:tcPr>
          <w:p>
            <w:pPr>
              <w:spacing w:after="30"/>
            </w:pPr>
            <w:r>
              <w:rPr>
                <w:rFonts w:ascii="Arial" w:hAnsi="Arial"/>
                <w:sz w:val="17"/>
              </w:rPr>
              <w:t>7840,00 EUR</w:t>
            </w:r>
          </w:p>
        </w:tc>
        <w:tc>
          <w:tcPr>
            <w:tcW w:type="dxa" w:w="1949"/>
            <w:vAlign w:val="center"/>
            <w:tcMar>
              <w:top w:w="90" w:type="dxa"/>
              <w:start w:w="100" w:type="dxa"/>
              <w:bottom w:w="90" w:type="dxa"/>
              <w:end w:w="100" w:type="dxa"/>
            </w:tcMar>
            <w:shd w:fill="F2F4F5"/>
          </w:tcPr>
          <w:p>
            <w:pPr>
              <w:spacing w:after="30"/>
            </w:pPr>
            <w:r>
              <w:rPr>
                <w:rFonts w:ascii="Arial" w:hAnsi="Arial"/>
                <w:sz w:val="17"/>
              </w:rPr>
              <w:t>6400,00 EUR</w:t>
            </w:r>
          </w:p>
        </w:tc>
        <w:tc>
          <w:tcPr>
            <w:tcW w:type="dxa" w:w="1949"/>
            <w:vAlign w:val="center"/>
            <w:tcMar>
              <w:top w:w="90" w:type="dxa"/>
              <w:start w:w="100" w:type="dxa"/>
              <w:bottom w:w="90" w:type="dxa"/>
              <w:end w:w="100" w:type="dxa"/>
            </w:tcMar>
            <w:shd w:fill="F2F4F5"/>
          </w:tcPr>
          <w:p>
            <w:pPr>
              <w:spacing w:after="30"/>
            </w:pPr>
            <w:r>
              <w:rPr>
                <w:rFonts w:ascii="Arial" w:hAnsi="Arial"/>
                <w:sz w:val="17"/>
              </w:rPr>
              <w:t>14240,00 EUR</w:t>
            </w:r>
          </w:p>
        </w:tc>
        <w:tc>
          <w:tcPr>
            <w:tcW w:type="dxa" w:w="1949"/>
            <w:vAlign w:val="center"/>
            <w:tcMar>
              <w:top w:w="90" w:type="dxa"/>
              <w:start w:w="100" w:type="dxa"/>
              <w:bottom w:w="90" w:type="dxa"/>
              <w:end w:w="100" w:type="dxa"/>
            </w:tcMar>
            <w:shd w:fill="F2F4F5"/>
          </w:tcPr>
          <w:p>
            <w:pPr>
              <w:spacing w:after="30"/>
            </w:pPr>
            <w:r>
              <w:rPr>
                <w:rFonts w:ascii="Arial" w:hAnsi="Arial"/>
                <w:sz w:val="17"/>
              </w:rPr>
              <w:t>teilweise offen</w:t>
            </w:r>
          </w:p>
        </w:tc>
      </w:tr>
    </w:tbl>
    <w:p>
      <w:pPr>
        <w:pStyle w:val="Heading1"/>
      </w:pPr>
      <w:r>
        <w:t>3. Werttreiber und Abschläge</w:t>
      </w:r>
    </w:p>
    <w:p>
      <w:pPr>
        <w:keepLines w:val="0"/>
      </w:pPr>
      <w:r>
        <w:t>Bitte weisen Sie Serien, Rechteketten, Exklusivität, Restlaufzeiten, wiederkehrende Lizenznehmer und dokumentierte Sperrvermerke aus. Abschläge sollen für fehlende Model-Releases, unsichere Urheberschaft einzelner Bearbeitungen, technische Dubletten, Kundengeheimnisse und absehbar sinkende Nachfrage getrennt begründet werden.</w:t>
      </w:r>
    </w:p>
    <w:p>
      <w:pPr>
        <w:keepLines w:val="0"/>
      </w:pPr>
      <w:r>
        <w:t>Die Bandbreite soll auf nachvollziehbaren Szenarien beruhen. Ein bloßes Vielfaches des letzten Jahresumsatzes reicht nicht. Noch offene Honorare sind als Forderungen gesondert auszuweisen, damit keine Doppelzählung mit künftigen Erträgen entsteht.</w:t>
      </w:r>
    </w:p>
    <w:p>
      <w:pPr>
        <w:pStyle w:val="Heading1"/>
      </w:pPr>
      <w:r>
        <w:t>4. Fehlende Daten</w:t>
      </w:r>
    </w:p>
    <w:p>
      <w:pPr>
        <w:keepLines w:val="0"/>
      </w:pPr>
      <w:r>
        <w:t>Das vollständige Archiv ist derzeit nicht zugänglich. Das Angebot soll daher eine erste Sichtungsstufe nach neutraler Datensicherung und eine zweite Bewertungsstufe nach Rechteprüfung vorsehen. Bis dahin bleiben alle Zahlen Arbeitswerte.</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Susanne Voll-Herzberg, Rechtsanwältin und Fachanwältin für Erbrecht | Anderkonto DE27 1002 0500 0088 4100 17 | BIC BFSWDE33BER | St.-Nr. 34/582/01947 | Berufshaftpflicht: JurAssekuranz AG, Berlin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Voll-Herzberg</w:t>
          </w:r>
        </w:p>
        <w:p>
          <w:pPr>
            <w:spacing w:after="0"/>
          </w:pPr>
          <w:r>
            <w:rPr>
              <w:color w:val="6B7378"/>
              <w:sz w:val="15"/>
            </w:rPr>
            <w:t>Erbrecht und Medienrecht | Münzstraße 21 | 10178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