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KANZLEINACHWEIS</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27.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26-ERB-0417 / pa</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Miriam Hesse</w:t>
            </w:r>
          </w:p>
        </w:tc>
      </w:tr>
    </w:tbl>
    <w:p/>
    <w:p>
      <w:pPr>
        <w:pStyle w:val="Title"/>
      </w:pPr>
      <w:r>
        <w:rPr>
          <w:rFonts w:ascii="Arial" w:hAnsi="Arial" w:eastAsia="Arial"/>
          <w:b/>
          <w:color w:val="173941"/>
          <w:sz w:val="34"/>
        </w:rPr>
        <w:t>Postausgang, Zustellung und Fristenkontrolle</w:t>
      </w:r>
    </w:p>
    <w:p>
      <w:pPr>
        <w:pStyle w:val="Heading1"/>
      </w:pPr>
      <w:r>
        <w:t>1. Versandvorgänge</w:t>
      </w:r>
    </w:p>
    <w:tbl>
      <w:tblPr>
        <w:tblStyle w:val="TableGrid"/>
        <w:tblW w:type="auto" w:w="0"/>
        <w:jc w:val="center"/>
        <w:tblLayout w:type="fixed"/>
        <w:tblLook w:firstColumn="1" w:firstRow="1" w:lastColumn="0" w:lastRow="0" w:noHBand="0" w:noVBand="1" w:val="04A0"/>
      </w:tblPr>
      <w:tblGrid>
        <w:gridCol w:w="1888"/>
        <w:gridCol w:w="1888"/>
        <w:gridCol w:w="1888"/>
        <w:gridCol w:w="1888"/>
        <w:gridCol w:w="1888"/>
      </w:tblGrid>
      <w:tr>
        <w:trPr>
          <w:tblHeader w:val="true"/>
        </w:trPr>
        <w:tc>
          <w:tcPr>
            <w:tcW w:type="dxa" w:w="1984"/>
            <w:shd w:fill="E7EFF1"/>
            <w:vAlign w:val="center"/>
          </w:tcPr>
          <w:p>
            <w:r>
              <w:rPr>
                <w:rFonts w:ascii="Arial" w:hAnsi="Arial" w:eastAsia="Arial"/>
                <w:b/>
                <w:color w:val="173941"/>
                <w:sz w:val="17"/>
              </w:rPr>
              <w:t>Datum und Uhrzeit</w:t>
            </w:r>
          </w:p>
        </w:tc>
        <w:tc>
          <w:tcPr>
            <w:tcW w:type="dxa" w:w="1928"/>
            <w:shd w:fill="E7EFF1"/>
            <w:vAlign w:val="center"/>
          </w:tcPr>
          <w:p>
            <w:r>
              <w:rPr>
                <w:rFonts w:ascii="Arial" w:hAnsi="Arial" w:eastAsia="Arial"/>
                <w:b/>
                <w:color w:val="173941"/>
                <w:sz w:val="17"/>
              </w:rPr>
              <w:t>Empfänger</w:t>
            </w:r>
          </w:p>
        </w:tc>
        <w:tc>
          <w:tcPr>
            <w:tcW w:type="dxa" w:w="3288"/>
            <w:shd w:fill="E7EFF1"/>
            <w:vAlign w:val="center"/>
          </w:tcPr>
          <w:p>
            <w:r>
              <w:rPr>
                <w:rFonts w:ascii="Arial" w:hAnsi="Arial" w:eastAsia="Arial"/>
                <w:b/>
                <w:color w:val="173941"/>
                <w:sz w:val="17"/>
              </w:rPr>
              <w:t>Dokument</w:t>
            </w:r>
          </w:p>
        </w:tc>
        <w:tc>
          <w:tcPr>
            <w:tcW w:type="dxa" w:w="2098"/>
            <w:shd w:fill="E7EFF1"/>
            <w:vAlign w:val="center"/>
          </w:tcPr>
          <w:p>
            <w:r>
              <w:rPr>
                <w:rFonts w:ascii="Arial" w:hAnsi="Arial" w:eastAsia="Arial"/>
                <w:b/>
                <w:color w:val="173941"/>
                <w:sz w:val="17"/>
              </w:rPr>
              <w:t>Kanal</w:t>
            </w:r>
          </w:p>
        </w:tc>
        <w:tc>
          <w:tcPr>
            <w:tcW w:type="dxa" w:w="2268"/>
            <w:shd w:fill="E7EFF1"/>
            <w:vAlign w:val="center"/>
          </w:tcPr>
          <w:p>
            <w:r>
              <w:rPr>
                <w:rFonts w:ascii="Arial" w:hAnsi="Arial" w:eastAsia="Arial"/>
                <w:b/>
                <w:color w:val="173941"/>
                <w:sz w:val="17"/>
              </w:rPr>
              <w:t>Nachweis</w:t>
            </w:r>
          </w:p>
        </w:tc>
      </w:tr>
      <w:tr>
        <w:tc>
          <w:tcPr>
            <w:tcW w:type="dxa" w:w="1984"/>
            <w:vAlign w:val="top"/>
          </w:tcPr>
          <w:p>
            <w:r>
              <w:rPr>
                <w:rFonts w:ascii="Arial" w:hAnsi="Arial" w:eastAsia="Arial"/>
                <w:b w:val="0"/>
                <w:sz w:val="16"/>
              </w:rPr>
              <w:t>22.06.2026, 16:42</w:t>
            </w:r>
          </w:p>
        </w:tc>
        <w:tc>
          <w:tcPr>
            <w:tcW w:type="dxa" w:w="1928"/>
            <w:vAlign w:val="top"/>
          </w:tcPr>
          <w:p>
            <w:r>
              <w:rPr>
                <w:rFonts w:ascii="Arial" w:hAnsi="Arial" w:eastAsia="Arial"/>
                <w:b w:val="0"/>
                <w:sz w:val="16"/>
              </w:rPr>
              <w:t>Ralf Lohse</w:t>
            </w:r>
          </w:p>
        </w:tc>
        <w:tc>
          <w:tcPr>
            <w:tcW w:type="dxa" w:w="3288"/>
            <w:vAlign w:val="top"/>
          </w:tcPr>
          <w:p>
            <w:r>
              <w:rPr>
                <w:rFonts w:ascii="Arial" w:hAnsi="Arial" w:eastAsia="Arial"/>
                <w:b w:val="0"/>
                <w:sz w:val="16"/>
              </w:rPr>
              <w:t>Sicherungs- und Herausgabeverlangen</w:t>
            </w:r>
          </w:p>
        </w:tc>
        <w:tc>
          <w:tcPr>
            <w:tcW w:type="dxa" w:w="2098"/>
            <w:vAlign w:val="top"/>
          </w:tcPr>
          <w:p>
            <w:r>
              <w:rPr>
                <w:rFonts w:ascii="Arial" w:hAnsi="Arial" w:eastAsia="Arial"/>
                <w:b w:val="0"/>
                <w:sz w:val="16"/>
              </w:rPr>
              <w:t>Einwurf-Einschreiben</w:t>
            </w:r>
          </w:p>
        </w:tc>
        <w:tc>
          <w:tcPr>
            <w:tcW w:type="dxa" w:w="2268"/>
            <w:vAlign w:val="top"/>
          </w:tcPr>
          <w:p>
            <w:r>
              <w:rPr>
                <w:rFonts w:ascii="Arial" w:hAnsi="Arial" w:eastAsia="Arial"/>
                <w:b w:val="0"/>
                <w:sz w:val="16"/>
              </w:rPr>
              <w:t>RR 681 204 995 DE</w:t>
            </w:r>
          </w:p>
        </w:tc>
      </w:tr>
      <w:tr>
        <w:tc>
          <w:tcPr>
            <w:tcW w:type="dxa" w:w="1984"/>
            <w:vAlign w:val="top"/>
          </w:tcPr>
          <w:p>
            <w:r>
              <w:rPr>
                <w:rFonts w:ascii="Arial" w:hAnsi="Arial" w:eastAsia="Arial"/>
                <w:b w:val="0"/>
                <w:sz w:val="16"/>
              </w:rPr>
              <w:t>22.06.2026, 16:47</w:t>
            </w:r>
          </w:p>
        </w:tc>
        <w:tc>
          <w:tcPr>
            <w:tcW w:type="dxa" w:w="1928"/>
            <w:vAlign w:val="top"/>
          </w:tcPr>
          <w:p>
            <w:r>
              <w:rPr>
                <w:rFonts w:ascii="Arial" w:hAnsi="Arial" w:eastAsia="Arial"/>
                <w:b w:val="0"/>
                <w:sz w:val="16"/>
              </w:rPr>
              <w:t>Ralf Lohse</w:t>
            </w:r>
          </w:p>
        </w:tc>
        <w:tc>
          <w:tcPr>
            <w:tcW w:type="dxa" w:w="3288"/>
            <w:vAlign w:val="top"/>
          </w:tcPr>
          <w:p>
            <w:r>
              <w:rPr>
                <w:rFonts w:ascii="Arial" w:hAnsi="Arial" w:eastAsia="Arial"/>
                <w:b w:val="0"/>
                <w:sz w:val="16"/>
              </w:rPr>
              <w:t>identische PDF-Fassung</w:t>
            </w:r>
          </w:p>
        </w:tc>
        <w:tc>
          <w:tcPr>
            <w:tcW w:type="dxa" w:w="2098"/>
            <w:vAlign w:val="top"/>
          </w:tcPr>
          <w:p>
            <w:r>
              <w:rPr>
                <w:rFonts w:ascii="Arial" w:hAnsi="Arial" w:eastAsia="Arial"/>
                <w:b w:val="0"/>
                <w:sz w:val="16"/>
              </w:rPr>
              <w:t>E-Mail</w:t>
            </w:r>
          </w:p>
        </w:tc>
        <w:tc>
          <w:tcPr>
            <w:tcW w:type="dxa" w:w="2268"/>
            <w:vAlign w:val="top"/>
          </w:tcPr>
          <w:p>
            <w:r>
              <w:rPr>
                <w:rFonts w:ascii="Arial" w:hAnsi="Arial" w:eastAsia="Arial"/>
                <w:b w:val="0"/>
                <w:sz w:val="16"/>
              </w:rPr>
              <w:t>Serverprotokoll gespeichert</w:t>
            </w:r>
          </w:p>
        </w:tc>
      </w:tr>
      <w:tr>
        <w:tc>
          <w:tcPr>
            <w:tcW w:type="dxa" w:w="1984"/>
            <w:vAlign w:val="top"/>
          </w:tcPr>
          <w:p>
            <w:r>
              <w:rPr>
                <w:rFonts w:ascii="Arial" w:hAnsi="Arial" w:eastAsia="Arial"/>
                <w:b w:val="0"/>
                <w:sz w:val="16"/>
              </w:rPr>
              <w:t>23.06.2026, 09:12</w:t>
            </w:r>
          </w:p>
        </w:tc>
        <w:tc>
          <w:tcPr>
            <w:tcW w:type="dxa" w:w="1928"/>
            <w:vAlign w:val="top"/>
          </w:tcPr>
          <w:p>
            <w:r>
              <w:rPr>
                <w:rFonts w:ascii="Arial" w:hAnsi="Arial" w:eastAsia="Arial"/>
                <w:b w:val="0"/>
                <w:sz w:val="16"/>
              </w:rPr>
              <w:t>Eva Lohse</w:t>
            </w:r>
          </w:p>
        </w:tc>
        <w:tc>
          <w:tcPr>
            <w:tcW w:type="dxa" w:w="3288"/>
            <w:vAlign w:val="top"/>
          </w:tcPr>
          <w:p>
            <w:r>
              <w:rPr>
                <w:rFonts w:ascii="Arial" w:hAnsi="Arial" w:eastAsia="Arial"/>
                <w:b w:val="0"/>
                <w:sz w:val="16"/>
              </w:rPr>
              <w:t>Abschrift und Fristenblatt</w:t>
            </w:r>
          </w:p>
        </w:tc>
        <w:tc>
          <w:tcPr>
            <w:tcW w:type="dxa" w:w="2098"/>
            <w:vAlign w:val="top"/>
          </w:tcPr>
          <w:p>
            <w:r>
              <w:rPr>
                <w:rFonts w:ascii="Arial" w:hAnsi="Arial" w:eastAsia="Arial"/>
                <w:b w:val="0"/>
                <w:sz w:val="16"/>
              </w:rPr>
              <w:t>Mandantenportal</w:t>
            </w:r>
          </w:p>
        </w:tc>
        <w:tc>
          <w:tcPr>
            <w:tcW w:type="dxa" w:w="2268"/>
            <w:vAlign w:val="top"/>
          </w:tcPr>
          <w:p>
            <w:r>
              <w:rPr>
                <w:rFonts w:ascii="Arial" w:hAnsi="Arial" w:eastAsia="Arial"/>
                <w:b w:val="0"/>
                <w:sz w:val="16"/>
              </w:rPr>
              <w:t>Abruf 10:03 Uhr</w:t>
            </w:r>
          </w:p>
        </w:tc>
      </w:tr>
      <w:tr>
        <w:tc>
          <w:tcPr>
            <w:tcW w:type="dxa" w:w="1984"/>
            <w:vAlign w:val="top"/>
          </w:tcPr>
          <w:p>
            <w:r>
              <w:rPr>
                <w:rFonts w:ascii="Arial" w:hAnsi="Arial" w:eastAsia="Arial"/>
                <w:b w:val="0"/>
                <w:sz w:val="16"/>
              </w:rPr>
              <w:t>25.06.2026, 11:20</w:t>
            </w:r>
          </w:p>
        </w:tc>
        <w:tc>
          <w:tcPr>
            <w:tcW w:type="dxa" w:w="1928"/>
            <w:vAlign w:val="top"/>
          </w:tcPr>
          <w:p>
            <w:r>
              <w:rPr>
                <w:rFonts w:ascii="Arial" w:hAnsi="Arial" w:eastAsia="Arial"/>
                <w:b w:val="0"/>
                <w:sz w:val="16"/>
              </w:rPr>
              <w:t>Nordfenster</w:t>
            </w:r>
          </w:p>
        </w:tc>
        <w:tc>
          <w:tcPr>
            <w:tcW w:type="dxa" w:w="3288"/>
            <w:vAlign w:val="top"/>
          </w:tcPr>
          <w:p>
            <w:r>
              <w:rPr>
                <w:rFonts w:ascii="Arial" w:hAnsi="Arial" w:eastAsia="Arial"/>
                <w:b w:val="0"/>
                <w:sz w:val="16"/>
              </w:rPr>
              <w:t>Vollmacht und Sterbeurkunde</w:t>
            </w:r>
          </w:p>
        </w:tc>
        <w:tc>
          <w:tcPr>
            <w:tcW w:type="dxa" w:w="2098"/>
            <w:vAlign w:val="top"/>
          </w:tcPr>
          <w:p>
            <w:r>
              <w:rPr>
                <w:rFonts w:ascii="Arial" w:hAnsi="Arial" w:eastAsia="Arial"/>
                <w:b w:val="0"/>
                <w:sz w:val="16"/>
              </w:rPr>
              <w:t>verschlüsselte E-Mail</w:t>
            </w:r>
          </w:p>
        </w:tc>
        <w:tc>
          <w:tcPr>
            <w:tcW w:type="dxa" w:w="2268"/>
            <w:vAlign w:val="top"/>
          </w:tcPr>
          <w:p>
            <w:r>
              <w:rPr>
                <w:rFonts w:ascii="Arial" w:hAnsi="Arial" w:eastAsia="Arial"/>
                <w:b w:val="0"/>
                <w:sz w:val="16"/>
              </w:rPr>
              <w:t>Empfang 11:27 Uhr</w:t>
            </w:r>
          </w:p>
        </w:tc>
      </w:tr>
    </w:tbl>
    <w:p/>
    <w:p>
      <w:pPr>
        <w:pStyle w:val="Heading1"/>
      </w:pPr>
      <w:r>
        <w:t>2. Zustellung</w:t>
      </w:r>
    </w:p>
    <w:p>
      <w:pPr>
        <w:jc w:val="both"/>
      </w:pPr>
      <w:r>
        <w:rPr>
          <w:rFonts w:ascii="Arial" w:hAnsi="Arial" w:eastAsia="Arial"/>
          <w:b w:val="0"/>
          <w:sz w:val="21"/>
        </w:rPr>
        <w:t>Die Sendungsverfolgung weist den Einwurf bei Ralf Lohse am 24. Juni 2026 um 11:36 Uhr aus. Der elektronische Rückschein wurde am selben Tag abgerufen und unter Beleg PA-04 gespeichert. Eine Antwort ging am 26. Juni per E-Mail ein.</w:t>
      </w:r>
    </w:p>
    <w:p>
      <w:pPr>
        <w:pStyle w:val="Heading1"/>
      </w:pPr>
      <w:r>
        <w:t>3. Fristen</w:t>
      </w:r>
    </w:p>
    <w:p>
      <w:pPr>
        <w:jc w:val="both"/>
      </w:pPr>
      <w:r>
        <w:rPr>
          <w:rFonts w:ascii="Arial" w:hAnsi="Arial" w:eastAsia="Arial"/>
          <w:b w:val="0"/>
          <w:sz w:val="21"/>
        </w:rPr>
        <w:t>Die Herausgabefrist aus dem Schreiben vom 22. Juni ist auf den 1. Juli 2026 notiert, Vorfrist 29. Juni. Die Frist zur Antwort von Nordfenster ist auf den 9. Juli notiert. Wiedervorlagen sind der verantwortlichen Rechtsanwältin und dem Sekretariat zugeordnet.</w:t>
      </w:r>
    </w:p>
    <w:p>
      <w:pPr>
        <w:spacing w:before="280"/>
      </w:pPr>
      <w:r>
        <w:rPr>
          <w:rFonts w:ascii="Arial" w:hAnsi="Arial" w:eastAsia="Arial"/>
          <w:b/>
          <w:sz w:val="21"/>
        </w:rPr>
        <w:t>Miriam Hesse</w:t>
      </w:r>
    </w:p>
    <w:p>
      <w:pPr>
        <w:spacing w:after="0"/>
      </w:pPr>
      <w:r>
        <w:rPr>
          <w:rFonts w:ascii="Arial" w:hAnsi="Arial" w:eastAsia="Arial"/>
          <w:b w:val="0"/>
          <w:color w:val="5C6569"/>
          <w:sz w:val="18"/>
        </w:rPr>
        <w:t>Rechtsanwaltsfachangestellte · Postausgangskontrolle</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Postausgang 26-ERB-0417 · Monat Juni 2026</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Kanzlei Voll-Herzberg</w:t>
    </w:r>
  </w:p>
  <w:p>
    <w:pPr>
      <w:spacing w:after="0"/>
    </w:pPr>
    <w:r>
      <w:rPr>
        <w:rFonts w:ascii="Arial" w:hAnsi="Arial" w:eastAsia="Arial"/>
        <w:b w:val="0"/>
        <w:color w:val="5C6569"/>
        <w:sz w:val="14"/>
      </w:rPr>
      <w:t>Schlüterstraße 44 · 10629 Berlin</w:t>
    </w:r>
  </w:p>
  <w:p>
    <w:pPr>
      <w:spacing w:after="0"/>
    </w:pPr>
    <w:r>
      <w:rPr>
        <w:rFonts w:ascii="Arial" w:hAnsi="Arial" w:eastAsia="Arial"/>
        <w:b w:val="0"/>
        <w:color w:val="5C6569"/>
        <w:sz w:val="14"/>
      </w:rPr>
      <w:t>Telefon 030 88912-0 · Telefax 030 88912-19 · post@voll-herzberg.example</w:t>
    </w:r>
  </w:p>
  <w:p>
    <w:pPr>
      <w:spacing w:after="0"/>
    </w:pPr>
    <w:r>
      <w:rPr>
        <w:rFonts w:ascii="Arial" w:hAnsi="Arial" w:eastAsia="Arial"/>
        <w:b w:val="0"/>
        <w:color w:val="5C6569"/>
        <w:sz w:val="14"/>
      </w:rPr>
      <w:t>Dr. Susanne Voll-Herzberg · Rechtsanwältin und Notarin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Postausgang, Zustellung und Fristenkontrolle</dc:title>
  <dc:subject>26-ERB-0417 / pa</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