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Arbeitsvermerk zur Reihenfolge der Tatsachenprüfung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Bearbeitung</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Dr. Maren Heller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tcPr>
          <w:p>
            <w:pPr>
              <w:spacing w:after="30"/>
            </w:pPr>
            <w:r>
              <w:rPr>
                <w:rFonts w:ascii="Arial" w:hAnsi="Arial"/>
                <w:sz w:val="17"/>
              </w:rPr>
              <w:t>06.07.2026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Zweck</w:t>
            </w:r>
          </w:p>
        </w:tc>
        <w:tc>
          <w:tcPr>
            <w:tcW w:type="dxa" w:w="4872"/>
            <w:vAlign w:val="center"/>
            <w:tcMar>
              <w:top w:w="90" w:type="dxa"/>
              <w:start w:w="100" w:type="dxa"/>
              <w:bottom w:w="90" w:type="dxa"/>
              <w:end w:w="100" w:type="dxa"/>
            </w:tcMar>
            <w:shd w:fill="F2F4F5"/>
          </w:tcPr>
          <w:p>
            <w:pPr>
              <w:spacing w:after="30"/>
            </w:pPr>
            <w:r>
              <w:rPr>
                <w:rFonts w:ascii="Arial" w:hAnsi="Arial"/>
                <w:sz w:val="17"/>
              </w:rPr>
              <w:t>Verfahrens- und Belegsteuerung ohne Festlegung von Erbquoten</w:t>
            </w:r>
          </w:p>
        </w:tc>
      </w:tr>
    </w:tbl>
    <w:p/>
    <w:p>
      <w:pPr>
        <w:pStyle w:val="Heading1"/>
      </w:pPr>
      <w:r>
        <w:t>1. Zwei Erbfälle getrennt halten</w:t>
      </w:r>
    </w:p>
    <w:p>
      <w:pPr>
        <w:keepLines w:val="0"/>
      </w:pPr>
      <w:r>
        <w:t>Armin Vogel starb am 14.05.2026, Clemens Radtke am 02.06.2026. Für jeden Erbfall werden Berufungsgrund, Beteiligte, Vermögen, Verbindlichkeiten und spätere Verfügungen in einem eigenen Strang geführt. Vermögenspositionen werden erst nach einem belegten Übergang in den jeweils anderen Strang übernommen.</w:t>
      </w:r>
    </w:p>
    <w:p>
      <w:pPr>
        <w:pStyle w:val="Heading1"/>
      </w:pPr>
      <w:r>
        <w:t>2. Personenstand vor Testamentsauslegung</w:t>
      </w:r>
    </w:p>
    <w:p>
      <w:pPr>
        <w:keepLines w:val="0"/>
      </w:pPr>
      <w:r>
        <w:t>Ehen, Scheidungen, Abstammung und Namensführung sind durch Registerurkunden belegt. Fiona war Armins Ehefrau, zuvor zeitweise seine Stieftochter und ist Clemens' leibliche Tochter. Diese Rollen werden nicht sprachlich vermischt. Ein Stiefverhältnis wird nicht als Abstammung behandelt.</w:t>
      </w:r>
    </w:p>
    <w:p>
      <w:pPr>
        <w:pStyle w:val="Heading1"/>
      </w:pPr>
      <w:r>
        <w:t>3. Verfügungskarte Armin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Dokument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Zeitpunkt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Wortlautkern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Tatsachenbedarf</w:t>
            </w:r>
          </w:p>
        </w:tc>
      </w:tr>
      <w:tr>
        <w:tc>
          <w:tcPr>
            <w:tcW w:type="dxa" w:w="2436"/>
            <w:vAlign w:val="center"/>
            <w:tcMar>
              <w:top w:w="90" w:type="dxa"/>
              <w:start w:w="100" w:type="dxa"/>
              <w:bottom w:w="90" w:type="dxa"/>
              <w:end w:w="100" w:type="dxa"/>
            </w:tcMar>
          </w:tcPr>
          <w:p>
            <w:pPr>
              <w:spacing w:after="30"/>
            </w:pPr>
            <w:r>
              <w:rPr>
                <w:rFonts w:ascii="Arial" w:hAnsi="Arial"/>
                <w:sz w:val="17"/>
              </w:rPr>
              <w:t>Gemeinschaftliches Testament</w:t>
            </w:r>
          </w:p>
        </w:tc>
        <w:tc>
          <w:tcPr>
            <w:tcW w:type="dxa" w:w="2436"/>
            <w:vAlign w:val="center"/>
            <w:tcMar>
              <w:top w:w="90" w:type="dxa"/>
              <w:start w:w="100" w:type="dxa"/>
              <w:bottom w:w="90" w:type="dxa"/>
              <w:end w:w="100" w:type="dxa"/>
            </w:tcMar>
          </w:tcPr>
          <w:p>
            <w:pPr>
              <w:spacing w:after="30"/>
            </w:pPr>
            <w:r>
              <w:rPr>
                <w:rFonts w:ascii="Arial" w:hAnsi="Arial"/>
                <w:sz w:val="17"/>
              </w:rPr>
              <w:t>03.10.1994</w:t>
            </w:r>
          </w:p>
        </w:tc>
        <w:tc>
          <w:tcPr>
            <w:tcW w:type="dxa" w:w="2436"/>
            <w:vAlign w:val="center"/>
            <w:tcMar>
              <w:top w:w="90" w:type="dxa"/>
              <w:start w:w="100" w:type="dxa"/>
              <w:bottom w:w="90" w:type="dxa"/>
              <w:end w:w="100" w:type="dxa"/>
            </w:tcMar>
          </w:tcPr>
          <w:p>
            <w:pPr>
              <w:spacing w:after="30"/>
            </w:pPr>
            <w:r>
              <w:rPr>
                <w:rFonts w:ascii="Arial" w:hAnsi="Arial"/>
                <w:sz w:val="17"/>
              </w:rPr>
              <w:t>gegenseitige Einsetzung; spätere Gruppe</w:t>
            </w:r>
          </w:p>
        </w:tc>
        <w:tc>
          <w:tcPr>
            <w:tcW w:type="dxa" w:w="2436"/>
            <w:vAlign w:val="center"/>
            <w:tcMar>
              <w:top w:w="90" w:type="dxa"/>
              <w:start w:w="100" w:type="dxa"/>
              <w:bottom w:w="90" w:type="dxa"/>
              <w:end w:w="100" w:type="dxa"/>
            </w:tcMar>
          </w:tcPr>
          <w:p>
            <w:pPr>
              <w:spacing w:after="30"/>
            </w:pPr>
            <w:r>
              <w:rPr>
                <w:rFonts w:ascii="Arial" w:hAnsi="Arial"/>
                <w:sz w:val="17"/>
              </w:rPr>
              <w:t>Scheidungswirkung, Auslegung, Bestimmbarkeit</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Testament Armin</w:t>
            </w:r>
          </w:p>
        </w:tc>
        <w:tc>
          <w:tcPr>
            <w:tcW w:type="dxa" w:w="2436"/>
            <w:vAlign w:val="center"/>
            <w:tcMar>
              <w:top w:w="90" w:type="dxa"/>
              <w:start w:w="100" w:type="dxa"/>
              <w:bottom w:w="90" w:type="dxa"/>
              <w:end w:w="100" w:type="dxa"/>
            </w:tcMar>
            <w:shd w:fill="F2F4F5"/>
          </w:tcPr>
          <w:p>
            <w:pPr>
              <w:spacing w:after="30"/>
            </w:pPr>
            <w:r>
              <w:rPr>
                <w:rFonts w:ascii="Arial" w:hAnsi="Arial"/>
                <w:sz w:val="17"/>
              </w:rPr>
              <w:t>10.10.2014</w:t>
            </w:r>
          </w:p>
        </w:tc>
        <w:tc>
          <w:tcPr>
            <w:tcW w:type="dxa" w:w="2436"/>
            <w:vAlign w:val="center"/>
            <w:tcMar>
              <w:top w:w="90" w:type="dxa"/>
              <w:start w:w="100" w:type="dxa"/>
              <w:bottom w:w="90" w:type="dxa"/>
              <w:end w:w="100" w:type="dxa"/>
            </w:tcMar>
            <w:shd w:fill="F2F4F5"/>
          </w:tcPr>
          <w:p>
            <w:pPr>
              <w:spacing w:after="30"/>
            </w:pPr>
            <w:r>
              <w:rPr>
                <w:rFonts w:ascii="Arial" w:hAnsi="Arial"/>
                <w:sz w:val="17"/>
              </w:rPr>
              <w:t>Hälfte Dana, Hälfte Fiona</w:t>
            </w:r>
          </w:p>
        </w:tc>
        <w:tc>
          <w:tcPr>
            <w:tcW w:type="dxa" w:w="2436"/>
            <w:vAlign w:val="center"/>
            <w:tcMar>
              <w:top w:w="90" w:type="dxa"/>
              <w:start w:w="100" w:type="dxa"/>
              <w:bottom w:w="90" w:type="dxa"/>
              <w:end w:w="100" w:type="dxa"/>
            </w:tcMar>
            <w:shd w:fill="F2F4F5"/>
          </w:tcPr>
          <w:p>
            <w:pPr>
              <w:spacing w:after="30"/>
            </w:pPr>
            <w:r>
              <w:rPr>
                <w:rFonts w:ascii="Arial" w:hAnsi="Arial"/>
                <w:sz w:val="17"/>
              </w:rPr>
              <w:t>Erbeinsetzung oder Vermächtnis, spätere Umstände</w:t>
            </w:r>
          </w:p>
        </w:tc>
      </w:tr>
      <w:tr>
        <w:tc>
          <w:tcPr>
            <w:tcW w:type="dxa" w:w="2436"/>
            <w:vAlign w:val="center"/>
            <w:tcMar>
              <w:top w:w="90" w:type="dxa"/>
              <w:start w:w="100" w:type="dxa"/>
              <w:bottom w:w="90" w:type="dxa"/>
              <w:end w:w="100" w:type="dxa"/>
            </w:tcMar>
          </w:tcPr>
          <w:p>
            <w:pPr>
              <w:spacing w:after="30"/>
            </w:pPr>
            <w:r>
              <w:rPr>
                <w:rFonts w:ascii="Arial" w:hAnsi="Arial"/>
                <w:sz w:val="17"/>
              </w:rPr>
              <w:t>Zettel</w:t>
            </w:r>
          </w:p>
        </w:tc>
        <w:tc>
          <w:tcPr>
            <w:tcW w:type="dxa" w:w="2436"/>
            <w:vAlign w:val="center"/>
            <w:tcMar>
              <w:top w:w="90" w:type="dxa"/>
              <w:start w:w="100" w:type="dxa"/>
              <w:bottom w:w="90" w:type="dxa"/>
              <w:end w:w="100" w:type="dxa"/>
            </w:tcMar>
          </w:tcPr>
          <w:p>
            <w:pPr>
              <w:spacing w:after="30"/>
            </w:pPr>
            <w:r>
              <w:rPr>
                <w:rFonts w:ascii="Arial" w:hAnsi="Arial"/>
                <w:sz w:val="17"/>
              </w:rPr>
              <w:t>vermutlich 2018</w:t>
            </w:r>
          </w:p>
        </w:tc>
        <w:tc>
          <w:tcPr>
            <w:tcW w:type="dxa" w:w="2436"/>
            <w:vAlign w:val="center"/>
            <w:tcMar>
              <w:top w:w="90" w:type="dxa"/>
              <w:start w:w="100" w:type="dxa"/>
              <w:bottom w:w="90" w:type="dxa"/>
              <w:end w:w="100" w:type="dxa"/>
            </w:tcMar>
          </w:tcPr>
          <w:p>
            <w:pPr>
              <w:spacing w:after="30"/>
            </w:pPr>
            <w:r>
              <w:rPr>
                <w:rFonts w:ascii="Arial" w:hAnsi="Arial"/>
                <w:sz w:val="17"/>
              </w:rPr>
              <w:t>Fiona soll nicht leer ausgehen</w:t>
            </w:r>
          </w:p>
        </w:tc>
        <w:tc>
          <w:tcPr>
            <w:tcW w:type="dxa" w:w="2436"/>
            <w:vAlign w:val="center"/>
            <w:tcMar>
              <w:top w:w="90" w:type="dxa"/>
              <w:start w:w="100" w:type="dxa"/>
              <w:bottom w:w="90" w:type="dxa"/>
              <w:end w:w="100" w:type="dxa"/>
            </w:tcMar>
          </w:tcPr>
          <w:p>
            <w:pPr>
              <w:spacing w:after="30"/>
            </w:pPr>
            <w:r>
              <w:rPr>
                <w:rFonts w:ascii="Arial" w:hAnsi="Arial"/>
                <w:sz w:val="17"/>
              </w:rPr>
              <w:t>Original, Form, Fundkette</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Ehe Armin/Fiona</w:t>
            </w:r>
          </w:p>
        </w:tc>
        <w:tc>
          <w:tcPr>
            <w:tcW w:type="dxa" w:w="2436"/>
            <w:vAlign w:val="center"/>
            <w:tcMar>
              <w:top w:w="90" w:type="dxa"/>
              <w:start w:w="100" w:type="dxa"/>
              <w:bottom w:w="90" w:type="dxa"/>
              <w:end w:w="100" w:type="dxa"/>
            </w:tcMar>
            <w:shd w:fill="F2F4F5"/>
          </w:tcPr>
          <w:p>
            <w:pPr>
              <w:spacing w:after="30"/>
            </w:pPr>
            <w:r>
              <w:rPr>
                <w:rFonts w:ascii="Arial" w:hAnsi="Arial"/>
                <w:sz w:val="17"/>
              </w:rPr>
              <w:t>05.11.2021</w:t>
            </w:r>
          </w:p>
        </w:tc>
        <w:tc>
          <w:tcPr>
            <w:tcW w:type="dxa" w:w="2436"/>
            <w:vAlign w:val="center"/>
            <w:tcMar>
              <w:top w:w="90" w:type="dxa"/>
              <w:start w:w="100" w:type="dxa"/>
              <w:bottom w:w="90" w:type="dxa"/>
              <w:end w:w="100" w:type="dxa"/>
            </w:tcMar>
            <w:shd w:fill="F2F4F5"/>
          </w:tcPr>
          <w:p>
            <w:pPr>
              <w:spacing w:after="30"/>
            </w:pPr>
            <w:r>
              <w:rPr>
                <w:rFonts w:ascii="Arial" w:hAnsi="Arial"/>
                <w:sz w:val="17"/>
              </w:rPr>
              <w:t>gesetzlicher Status</w:t>
            </w:r>
          </w:p>
        </w:tc>
        <w:tc>
          <w:tcPr>
            <w:tcW w:type="dxa" w:w="2436"/>
            <w:vAlign w:val="center"/>
            <w:tcMar>
              <w:top w:w="90" w:type="dxa"/>
              <w:start w:w="100" w:type="dxa"/>
              <w:bottom w:w="90" w:type="dxa"/>
              <w:end w:w="100" w:type="dxa"/>
            </w:tcMar>
            <w:shd w:fill="F2F4F5"/>
          </w:tcPr>
          <w:p>
            <w:pPr>
              <w:spacing w:after="30"/>
            </w:pPr>
            <w:r>
              <w:rPr>
                <w:rFonts w:ascii="Arial" w:hAnsi="Arial"/>
                <w:sz w:val="17"/>
              </w:rPr>
              <w:t>Güterstand und mögliche Verfügungen</w:t>
            </w:r>
          </w:p>
        </w:tc>
      </w:tr>
    </w:tbl>
    <w:p>
      <w:pPr>
        <w:pStyle w:val="Heading1"/>
      </w:pPr>
      <w:r>
        <w:t>4. Verfügungskarte Clemens</w:t>
      </w:r>
    </w:p>
    <w:p>
      <w:pPr>
        <w:keepLines w:val="0"/>
      </w:pPr>
      <w:r>
        <w:t>Das Testament vom 14.03.2018 ist als Original in amtlicher Verwahrung dokumentiert. Für die Akte sind dennoch Annahme oder Ausschlagung, Nachlassbestand, Büroabwicklung und mögliche Pflichtteils- oder Vertragsansprüche getrennt zu erfassen. Die Auslegung von Armins Testament entscheidet nicht automatisch über Clemens' Nachlass.</w:t>
      </w:r>
    </w:p>
    <w:p>
      <w:pPr>
        <w:pStyle w:val="Heading1"/>
      </w:pPr>
      <w:r>
        <w:t>5. Beweis- und Verfahrensplan</w:t>
      </w:r>
    </w:p>
    <w:p>
      <w:pPr>
        <w:keepLines w:val="0"/>
      </w:pPr>
      <w:r>
        <w:t>Zuerst werden Originale, Registerurkunden und Fundketten vervollständigt. Danach folgen getrennte Anhörungen zu Errichtungsumständen. Erst im Anschluss wird ein Antrag formuliert. Vergleichsgespräche dürfen wirtschaftliche Verfügbarkeit der GmbH und Wohnung berücksichtigen, aber keine ungesicherte Erbquote als feststehend darstellen.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