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Geschäftszeichen</w:t>
            </w:r>
          </w:p>
        </w:tc>
        <w:tc>
          <w:tcPr>
            <w:tcW w:type="dxa" w:w="3402"/>
            <w:vAlign w:val="center"/>
          </w:tcPr>
          <w:p>
            <w:r>
              <w:rPr>
                <w:rFonts w:ascii="Arial" w:hAnsi="Arial"/>
                <w:sz w:val="17"/>
              </w:rPr>
              <w:t>4 VI 312/26</w:t>
            </w:r>
          </w:p>
        </w:tc>
      </w:tr>
      <w:tr>
        <w:tc>
          <w:tcPr>
            <w:tcW w:type="dxa" w:w="1984"/>
            <w:vAlign w:val="center"/>
          </w:tcPr>
          <w:p>
            <w:r>
              <w:rPr>
                <w:rFonts w:ascii="Arial" w:hAnsi="Arial"/>
                <w:b/>
                <w:sz w:val="17"/>
              </w:rPr>
              <w:t>Datum</w:t>
            </w:r>
          </w:p>
        </w:tc>
        <w:tc>
          <w:tcPr>
            <w:tcW w:type="dxa" w:w="3402"/>
            <w:vAlign w:val="center"/>
          </w:tcPr>
          <w:p>
            <w:r>
              <w:rPr>
                <w:rFonts w:ascii="Arial" w:hAnsi="Arial"/>
                <w:sz w:val="17"/>
              </w:rPr>
              <w:t>15. Juli 2026</w:t>
            </w:r>
          </w:p>
        </w:tc>
      </w:tr>
      <w:tr>
        <w:tc>
          <w:tcPr>
            <w:tcW w:type="dxa" w:w="1984"/>
            <w:vAlign w:val="center"/>
          </w:tcPr>
          <w:p>
            <w:r>
              <w:rPr>
                <w:rFonts w:ascii="Arial" w:hAnsi="Arial"/>
                <w:b/>
                <w:sz w:val="17"/>
              </w:rPr>
              <w:t>Verfügung</w:t>
            </w:r>
          </w:p>
        </w:tc>
        <w:tc>
          <w:tcPr>
            <w:tcW w:type="dxa" w:w="3402"/>
            <w:vAlign w:val="center"/>
          </w:tcPr>
          <w:p>
            <w:r>
              <w:rPr>
                <w:rFonts w:ascii="Arial" w:hAnsi="Arial"/>
                <w:sz w:val="17"/>
              </w:rPr>
              <w:t>Blatt 51 der Gerichtsakte</w:t>
            </w:r>
          </w:p>
        </w:tc>
      </w:tr>
    </w:tbl>
    <w:p/>
    <w:p>
      <w:pPr>
        <w:pStyle w:val="Title"/>
      </w:pPr>
      <w:r>
        <w:t>Verfügung nach dem Anhörungstermin</w:t>
      </w:r>
    </w:p>
    <w:p>
      <w:r>
        <w:t>In der Nachlasssache Armin Vogel, verstorben am 14. Mai 2026, wird nach der heutigen Anhörung verfügt:</w:t>
      </w:r>
    </w:p>
    <w:p>
      <w:r>
        <w:t>1. Fiona Radtke-Vogel legt bis 29. Juli 2026 das Original der Erklärung aus dem Jahr 2018 oder eine nachvollziehbar beglaubigte Kopie vor. Zugleich teilt sie mit, wo sich das Original befindet und wer es seit dem Auffinden verwahrt.</w:t>
      </w:r>
    </w:p>
    <w:p>
      <w:r>
        <w:t>2. Dana Radtke reicht bis zu demselben Datum den vollständigen Scheidungsvergleich aus dem Verfahren 6 F 481/11 ein. Das bisher vorgelegte Deckblatt genügt nicht, weil Regelungen zu Verfügungen von Todes wegen oder erbvertraglichen Bindungen nicht erkennbar sind.</w:t>
      </w:r>
    </w:p>
    <w:p>
      <w:r>
        <w:t>3. Fiona Radtke-Vogel legt einen etwaigen Ehevertrag mit Armin Vogel vor oder reicht eine gemeinsame Negativauskunft der beteiligten Notare ein. Beate Vogel benennt die im gemeinschaftlichen Testament 1994 als Patenkinder bezeichneten Personen mit ladungsfähigen Anschriften, soweit bekannt.</w:t>
      </w:r>
    </w:p>
    <w:p>
      <w:r>
        <w:t>4. Steuerberater Eberhard Lutz übermittelt die Originalfotodatei vom 21. Mai 2026 einschließlich Metadaten über sein besonderes elektronisches Steuerberaterpostfach oder auf einem versiegelten Datenträger.</w:t>
      </w:r>
    </w:p>
    <w:p>
      <w:r>
        <w:t>5. Nach Fristablauf erhalten die Beteiligten den neuen Aktenstand zur abschließenden Stellungnahme. Eine Entscheidung über Erbenstellung, Auslegung oder Quote ist mit dieser Verfügung nicht verbunden.</w:t>
      </w:r>
    </w:p>
    <w:p>
      <w:r>
        <w:t>Ausfertigungen an die drei Beteiligtenvertreter. Wiedervorlage 1. August 2026. Urschrift zur Gerichtsakte.</w:t>
      </w:r>
    </w:p>
    <w:p/>
    <w:p>
      <w:r>
        <w:rPr>
          <w:rFonts w:ascii="Arial" w:hAnsi="Arial"/>
          <w:b/>
          <w:sz w:val="20"/>
        </w:rPr>
        <w:t>Dr. Miriam Falk</w:t>
        <w:br/>
      </w:r>
      <w:r>
        <w:rPr>
          <w:rFonts w:ascii="Arial" w:hAnsi="Arial"/>
          <w:sz w:val="20"/>
        </w:rPr>
        <w:t>Richterin am Amtsgericht</w:t>
        <w:br/>
      </w:r>
      <w:r>
        <w:rPr>
          <w:rFonts w:ascii="Arial" w:hAnsi="Arial"/>
          <w:sz w:val="20"/>
        </w:rPr>
        <w:t>Ausgefertigt: Nadine Weiß, Geschäftsstelle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15b_verfügung_nachlassgericht_2026-07-15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3B3B"/>
        <w:sz w:val="20"/>
      </w:rPr>
      <w:t>Amtsgericht Karlsruhe · Nachlassgericht</w:t>
    </w:r>
  </w:p>
  <w:p>
    <w:pPr>
      <w:spacing w:after="0"/>
      <w:pBdr>
        <w:bottom w:val="single" w:sz="8" w:space="3" w:color="3B3B3B"/>
      </w:pBdr>
    </w:pPr>
    <w:r>
      <w:rPr>
        <w:rFonts w:ascii="Arial" w:hAnsi="Arial"/>
        <w:sz w:val="16"/>
      </w:rPr>
      <w:t>Schlossplatz 23, 76131 Karlsruhe | Telefon 0721 926-0 | Geschäftsstelle VI-Sachen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3B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3B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Verfügung nach dem Anhörungstermin</dc:title>
  <dc:subject/>
  <dc:creator>Amtsgericht Karlsruhe · Nachlassgericht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