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Fristenkalender und Postausgang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14.07.2026, 17:10 Uhr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Kalenderführung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Isabel Neumann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Kontrolle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Dr. Maren Heller</w:t>
            </w:r>
          </w:p>
        </w:tc>
      </w:tr>
    </w:tbl>
    <w:p/>
    <w:p>
      <w:pPr>
        <w:pStyle w:val="Heading1"/>
      </w:pPr>
      <w:r>
        <w:t>1. Fristen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Vorgang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Aktenzeichen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Vorfrist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17.07.2026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Nachrichtenexport Lutz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HB-226/26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15.07.2026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angekündigt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22.07.2026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Notariat Dr. Holl – Urkundenverzeichnis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HB-226/26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20.07.2026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Anfrage zugestellt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29.07.2026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Stellungnahme Nachlassgericht Armin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4 VI 312/26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24.07.2026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Entwurf in Arbeit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05.08.2026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Erbscheinverfahren Clemens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4 VI 356/26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31.07.2026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Unterlagen vollständig prüfen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14.08.2026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Bank Schließfachverwahrung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NL-VOG-2026-318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10.08.2026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Verlängerung klären</w:t>
            </w:r>
          </w:p>
        </w:tc>
      </w:tr>
    </w:tbl>
    <w:p>
      <w:pPr>
        <w:pStyle w:val="Heading1"/>
      </w:pPr>
      <w:r>
        <w:t>2. Postausgang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Datum / Uhrzeit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Empfänger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Dokument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Kanal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Nachweis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09.07.2026, 10:14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Notariat Dr. Holl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Anfrage Urkundenverzeichnis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10:17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10.07.2026, 15:42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Rechtsanwalt Bach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Protokollberichtigung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Eingang bestätigt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13.07.2026, 09:05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Standesamt Karlsruhe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Registerergänzung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Behördenpostfach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Vorgang PSt 26/441</w:t>
            </w:r>
          </w:p>
        </w:tc>
      </w:tr>
      <w:tr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14.07.2026, 16:33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Fiona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Terminprotokoll und Aufgabenliste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Mandantenportal</w:t>
            </w:r>
          </w:p>
        </w:tc>
        <w:tc>
          <w:tcPr>
            <w:tcW w:type="dxa" w:w="1949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Abruf 16:51</w:t>
            </w:r>
          </w:p>
        </w:tc>
      </w:tr>
    </w:tbl>
    <w:p>
      <w:pPr>
        <w:pStyle w:val="Heading1"/>
      </w:pPr>
      <w:r>
        <w:t>3. Kontrollvermerk</w:t>
      </w:r>
    </w:p>
    <w:p>
      <w:pPr>
        <w:keepLines w:val="0"/>
      </w:pPr>
      <w:r>
        <w:t>Jeder Schriftsatz nennt den betroffenen Erbfall und das gerichtliche Geschäftszeichen. Anlagen zu Armin und Clemens werden nicht in einer gemeinsamen Nummernfolge geführt. Das verhindert, dass Register- und Vermögensbelege dem falschen Nachlass zugeordnet werden.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Maren Heller, Rechtsanwältin und Fachanwältin für Erbrecht | Anderkonto DE68 6602 0500 0047 8200 31 | BIC BFSWDE33KRL | St.-Nr. 35/127/08421 | Berufshaftpflicht: JurAssekuranz AG, Karlsruhe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Heller &amp; Brückner Rechtsanwälte</w:t>
          </w:r>
        </w:p>
        <w:p>
          <w:pPr>
            <w:spacing w:after="0"/>
          </w:pPr>
          <w:r>
            <w:rPr>
              <w:color w:val="6B7378"/>
              <w:sz w:val="15"/>
            </w:rPr>
            <w:t>Erbrecht und Vermögensnachfolge | Kaiserstraße 104 | 76133 Karlsruhe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Nachlässe Vogel und Radtke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HB-226/26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Heller &amp; Brückner Rechtsanwälte</dc:creator>
  <cp:keywords/>
  <dc:description>generated by python-docx</dc:description>
  <cp:lastModifiedBy>Heller &amp; Brückner Rechtsanwälte</cp:lastModifiedBy>
  <cp:revision>1</cp:revision>
  <dcterms:created xsi:type="dcterms:W3CDTF">2026-07-15T12:00:00Z</dcterms:created>
  <dcterms:modified xsi:type="dcterms:W3CDTF">2026-07-15T12:00:00Z</dcterms:modified>
  <cp:category/>
</cp:coreProperties>
</file>