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Kostenrechnung – Entwurf und Streitwertnotiz</w:t>
      </w:r>
    </w:p>
    <w:tbl>
      <w:tblPr>
        <w:tblStyle w:val="TableGrid"/>
        <w:tblW w:type="auto" w:w="0"/>
        <w:jc w:val="center"/>
        <w:tblLayout w:type="autofit"/>
        <w:tblLook w:firstColumn="1" w:firstRow="1" w:lastColumn="0" w:lastRow="0" w:noHBand="0" w:noVBand="1" w:val="04A0"/>
      </w:tblPr>
      <w:tblGrid>
        <w:gridCol w:w="4872"/>
        <w:gridCol w:w="4872"/>
      </w:tblGrid>
      <w:tr>
        <w:trPr>
          <w:tblHeader w:val="true"/>
        </w:trPr>
        <w:tc>
          <w:tcPr>
            <w:tcW w:type="dxa" w:w="4872"/>
            <w:shd w:fill="17324D"/>
            <w:vAlign w:val="center"/>
            <w:tcMar>
              <w:top w:w="90" w:type="dxa"/>
              <w:start w:w="100" w:type="dxa"/>
              <w:bottom w:w="90" w:type="dxa"/>
              <w:end w:w="100" w:type="dxa"/>
            </w:tcMar>
          </w:tcPr>
          <w:p>
            <w:pPr>
              <w:spacing w:after="30"/>
            </w:pPr>
            <w:r>
              <w:rPr>
                <w:rFonts w:ascii="Arial" w:hAnsi="Arial"/>
                <w:b/>
                <w:color w:val="FFFFFF"/>
                <w:sz w:val="17"/>
              </w:rPr>
              <w:t>Mandantin</w:t>
            </w:r>
          </w:p>
        </w:tc>
        <w:tc>
          <w:tcPr>
            <w:tcW w:type="dxa" w:w="4872"/>
            <w:vAlign w:val="center"/>
            <w:tcMar>
              <w:top w:w="90" w:type="dxa"/>
              <w:start w:w="100" w:type="dxa"/>
              <w:bottom w:w="90" w:type="dxa"/>
              <w:end w:w="100" w:type="dxa"/>
            </w:tcMar>
            <w:shd w:fill="17324D"/>
          </w:tcPr>
          <w:p>
            <w:pPr>
              <w:spacing w:after="30"/>
            </w:pPr>
            <w:r>
              <w:rPr>
                <w:rFonts w:ascii="Arial" w:hAnsi="Arial"/>
                <w:b/>
                <w:color w:val="FFFFFF"/>
                <w:sz w:val="17"/>
              </w:rPr>
              <w:t>Fiona Radtke-Vogel</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Mandat</w:t>
            </w:r>
          </w:p>
        </w:tc>
        <w:tc>
          <w:tcPr>
            <w:tcW w:type="dxa" w:w="4872"/>
            <w:vAlign w:val="center"/>
            <w:tcMar>
              <w:top w:w="90" w:type="dxa"/>
              <w:start w:w="100" w:type="dxa"/>
              <w:bottom w:w="90" w:type="dxa"/>
              <w:end w:w="100" w:type="dxa"/>
            </w:tcMar>
          </w:tcPr>
          <w:p>
            <w:pPr>
              <w:spacing w:after="30"/>
            </w:pPr>
            <w:r>
              <w:rPr>
                <w:rFonts w:ascii="Arial" w:hAnsi="Arial"/>
                <w:sz w:val="17"/>
              </w:rPr>
              <w:t>Nachlass Armin Vogel und Nachlass Clemens Radtke</w:t>
            </w:r>
          </w:p>
        </w:tc>
      </w:tr>
      <w:tr>
        <w:tc>
          <w:tcPr>
            <w:tcW w:type="dxa" w:w="4872"/>
            <w:shd w:fill="F2F4F5"/>
            <w:vAlign w:val="center"/>
            <w:tcMar>
              <w:top w:w="90" w:type="dxa"/>
              <w:start w:w="100" w:type="dxa"/>
              <w:bottom w:w="90" w:type="dxa"/>
              <w:end w:w="100" w:type="dxa"/>
            </w:tcMar>
          </w:tcPr>
          <w:p>
            <w:pPr>
              <w:spacing w:after="30"/>
            </w:pPr>
            <w:r>
              <w:rPr>
                <w:rFonts w:ascii="Arial" w:hAnsi="Arial"/>
                <w:b/>
                <w:color w:val="17324D"/>
                <w:sz w:val="17"/>
              </w:rPr>
              <w:t>Stand</w:t>
            </w:r>
          </w:p>
        </w:tc>
        <w:tc>
          <w:tcPr>
            <w:tcW w:type="dxa" w:w="4872"/>
            <w:vAlign w:val="center"/>
            <w:tcMar>
              <w:top w:w="90" w:type="dxa"/>
              <w:start w:w="100" w:type="dxa"/>
              <w:bottom w:w="90" w:type="dxa"/>
              <w:end w:w="100" w:type="dxa"/>
            </w:tcMar>
            <w:shd w:fill="F2F4F5"/>
          </w:tcPr>
          <w:p>
            <w:pPr>
              <w:spacing w:after="30"/>
            </w:pPr>
            <w:r>
              <w:rPr>
                <w:rFonts w:ascii="Arial" w:hAnsi="Arial"/>
                <w:sz w:val="17"/>
              </w:rPr>
              <w:t>15.07.2026</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Hinweis</w:t>
            </w:r>
          </w:p>
        </w:tc>
        <w:tc>
          <w:tcPr>
            <w:tcW w:type="dxa" w:w="4872"/>
            <w:vAlign w:val="center"/>
            <w:tcMar>
              <w:top w:w="90" w:type="dxa"/>
              <w:start w:w="100" w:type="dxa"/>
              <w:bottom w:w="90" w:type="dxa"/>
              <w:end w:w="100" w:type="dxa"/>
            </w:tcMar>
          </w:tcPr>
          <w:p>
            <w:pPr>
              <w:spacing w:after="30"/>
            </w:pPr>
            <w:r>
              <w:rPr>
                <w:rFonts w:ascii="Arial" w:hAnsi="Arial"/>
                <w:sz w:val="17"/>
              </w:rPr>
              <w:t>Noch keine Schlussrechnung</w:t>
            </w:r>
          </w:p>
        </w:tc>
      </w:tr>
    </w:tbl>
    <w:p/>
    <w:p>
      <w:pPr>
        <w:pStyle w:val="Heading1"/>
      </w:pPr>
      <w:r>
        <w:t>1. Getrennte Gegenstände</w:t>
      </w:r>
    </w:p>
    <w:p>
      <w:pPr>
        <w:keepLines w:val="0"/>
      </w:pPr>
      <w:r>
        <w:t>Die Vertretung betrifft zwei Nachlassverfahren. Geschäftswerte werden nicht allein aus Bruttonachlasssummen übernommen, sondern nach dem konkreten Antrag und wirtschaftlichen Interesse bestimmt. Das Erbscheinverfahren Armin ist streitig; das Verfahren Clemens ist nach Aktenlage weniger umfangreich, wird aber separat dokumentiert.</w:t>
      </w:r>
    </w:p>
    <w:p>
      <w:pPr>
        <w:pStyle w:val="Heading1"/>
      </w:pPr>
      <w:r>
        <w:t>2. Bisherige Auslagen</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rPr>
          <w:tblHeader w:val="true"/>
        </w:trPr>
        <w:tc>
          <w:tcPr>
            <w:tcW w:type="dxa" w:w="2436"/>
            <w:vAlign w:val="center"/>
            <w:tcMar>
              <w:top w:w="90" w:type="dxa"/>
              <w:start w:w="100" w:type="dxa"/>
              <w:bottom w:w="90" w:type="dxa"/>
              <w:end w:w="100" w:type="dxa"/>
            </w:tcMar>
            <w:shd w:fill="17324D"/>
          </w:tcPr>
          <w:p>
            <w:pPr>
              <w:spacing w:after="30"/>
            </w:pPr>
            <w:r>
              <w:rPr>
                <w:rFonts w:ascii="Arial" w:hAnsi="Arial"/>
                <w:b/>
                <w:color w:val="FFFFFF"/>
                <w:sz w:val="17"/>
              </w:rPr>
              <w:t>Position</w:t>
            </w:r>
          </w:p>
        </w:tc>
        <w:tc>
          <w:tcPr>
            <w:tcW w:type="dxa" w:w="2436"/>
            <w:vAlign w:val="center"/>
            <w:tcMar>
              <w:top w:w="90" w:type="dxa"/>
              <w:start w:w="100" w:type="dxa"/>
              <w:bottom w:w="90" w:type="dxa"/>
              <w:end w:w="100" w:type="dxa"/>
            </w:tcMar>
            <w:shd w:fill="17324D"/>
          </w:tcPr>
          <w:p>
            <w:pPr>
              <w:spacing w:after="30"/>
            </w:pPr>
            <w:r>
              <w:rPr>
                <w:rFonts w:ascii="Arial" w:hAnsi="Arial"/>
                <w:b/>
                <w:color w:val="FFFFFF"/>
                <w:sz w:val="17"/>
              </w:rPr>
              <w:t>Armin</w:t>
            </w:r>
          </w:p>
        </w:tc>
        <w:tc>
          <w:tcPr>
            <w:tcW w:type="dxa" w:w="2436"/>
            <w:vAlign w:val="center"/>
            <w:tcMar>
              <w:top w:w="90" w:type="dxa"/>
              <w:start w:w="100" w:type="dxa"/>
              <w:bottom w:w="90" w:type="dxa"/>
              <w:end w:w="100" w:type="dxa"/>
            </w:tcMar>
            <w:shd w:fill="17324D"/>
          </w:tcPr>
          <w:p>
            <w:pPr>
              <w:spacing w:after="30"/>
            </w:pPr>
            <w:r>
              <w:rPr>
                <w:rFonts w:ascii="Arial" w:hAnsi="Arial"/>
                <w:b/>
                <w:color w:val="FFFFFF"/>
                <w:sz w:val="17"/>
              </w:rPr>
              <w:t>Clemens</w:t>
            </w:r>
          </w:p>
        </w:tc>
        <w:tc>
          <w:tcPr>
            <w:tcW w:type="dxa" w:w="2436"/>
            <w:vAlign w:val="center"/>
            <w:tcMar>
              <w:top w:w="90" w:type="dxa"/>
              <w:start w:w="100" w:type="dxa"/>
              <w:bottom w:w="90" w:type="dxa"/>
              <w:end w:w="100" w:type="dxa"/>
            </w:tcMar>
            <w:shd w:fill="17324D"/>
          </w:tcPr>
          <w:p>
            <w:pPr>
              <w:spacing w:after="30"/>
            </w:pPr>
            <w:r>
              <w:rPr>
                <w:rFonts w:ascii="Arial" w:hAnsi="Arial"/>
                <w:b/>
                <w:color w:val="FFFFFF"/>
                <w:sz w:val="17"/>
              </w:rPr>
              <w:t>Beleg</w:t>
            </w:r>
          </w:p>
        </w:tc>
      </w:tr>
      <w:tr>
        <w:tc>
          <w:tcPr>
            <w:tcW w:type="dxa" w:w="2436"/>
            <w:vAlign w:val="center"/>
            <w:tcMar>
              <w:top w:w="90" w:type="dxa"/>
              <w:start w:w="100" w:type="dxa"/>
              <w:bottom w:w="90" w:type="dxa"/>
              <w:end w:w="100" w:type="dxa"/>
            </w:tcMar>
          </w:tcPr>
          <w:p>
            <w:pPr>
              <w:spacing w:after="30"/>
            </w:pPr>
            <w:r>
              <w:rPr>
                <w:rFonts w:ascii="Arial" w:hAnsi="Arial"/>
                <w:sz w:val="17"/>
              </w:rPr>
              <w:t>Registerurkunden</w:t>
            </w:r>
          </w:p>
        </w:tc>
        <w:tc>
          <w:tcPr>
            <w:tcW w:type="dxa" w:w="2436"/>
            <w:vAlign w:val="center"/>
            <w:tcMar>
              <w:top w:w="90" w:type="dxa"/>
              <w:start w:w="100" w:type="dxa"/>
              <w:bottom w:w="90" w:type="dxa"/>
              <w:end w:w="100" w:type="dxa"/>
            </w:tcMar>
          </w:tcPr>
          <w:p>
            <w:pPr>
              <w:spacing w:after="30"/>
            </w:pPr>
            <w:r>
              <w:rPr>
                <w:rFonts w:ascii="Arial" w:hAnsi="Arial"/>
                <w:sz w:val="17"/>
              </w:rPr>
              <w:t>84,00 EUR</w:t>
            </w:r>
          </w:p>
        </w:tc>
        <w:tc>
          <w:tcPr>
            <w:tcW w:type="dxa" w:w="2436"/>
            <w:vAlign w:val="center"/>
            <w:tcMar>
              <w:top w:w="90" w:type="dxa"/>
              <w:start w:w="100" w:type="dxa"/>
              <w:bottom w:w="90" w:type="dxa"/>
              <w:end w:w="100" w:type="dxa"/>
            </w:tcMar>
          </w:tcPr>
          <w:p>
            <w:pPr>
              <w:spacing w:after="30"/>
            </w:pPr>
            <w:r>
              <w:rPr>
                <w:rFonts w:ascii="Arial" w:hAnsi="Arial"/>
                <w:sz w:val="17"/>
              </w:rPr>
              <w:t>42,00 EUR</w:t>
            </w:r>
          </w:p>
        </w:tc>
        <w:tc>
          <w:tcPr>
            <w:tcW w:type="dxa" w:w="2436"/>
            <w:vAlign w:val="center"/>
            <w:tcMar>
              <w:top w:w="90" w:type="dxa"/>
              <w:start w:w="100" w:type="dxa"/>
              <w:bottom w:w="90" w:type="dxa"/>
              <w:end w:w="100" w:type="dxa"/>
            </w:tcMar>
          </w:tcPr>
          <w:p>
            <w:pPr>
              <w:spacing w:after="30"/>
            </w:pPr>
            <w:r>
              <w:rPr>
                <w:rFonts w:ascii="Arial" w:hAnsi="Arial"/>
                <w:sz w:val="17"/>
              </w:rPr>
              <w:t>Standesamt 22.06.2026</w:t>
            </w:r>
          </w:p>
        </w:tc>
      </w:tr>
      <w:tr>
        <w:tc>
          <w:tcPr>
            <w:tcW w:type="dxa" w:w="2436"/>
            <w:vAlign w:val="center"/>
            <w:tcMar>
              <w:top w:w="90" w:type="dxa"/>
              <w:start w:w="100" w:type="dxa"/>
              <w:bottom w:w="90" w:type="dxa"/>
              <w:end w:w="100" w:type="dxa"/>
            </w:tcMar>
            <w:shd w:fill="F2F4F5"/>
          </w:tcPr>
          <w:p>
            <w:pPr>
              <w:spacing w:after="30"/>
            </w:pPr>
            <w:r>
              <w:rPr>
                <w:rFonts w:ascii="Arial" w:hAnsi="Arial"/>
                <w:sz w:val="17"/>
              </w:rPr>
              <w:t>Bankarchiv</w:t>
            </w:r>
          </w:p>
        </w:tc>
        <w:tc>
          <w:tcPr>
            <w:tcW w:type="dxa" w:w="2436"/>
            <w:vAlign w:val="center"/>
            <w:tcMar>
              <w:top w:w="90" w:type="dxa"/>
              <w:start w:w="100" w:type="dxa"/>
              <w:bottom w:w="90" w:type="dxa"/>
              <w:end w:w="100" w:type="dxa"/>
            </w:tcMar>
            <w:shd w:fill="F2F4F5"/>
          </w:tcPr>
          <w:p>
            <w:pPr>
              <w:spacing w:after="30"/>
            </w:pPr>
            <w:r>
              <w:rPr>
                <w:rFonts w:ascii="Arial" w:hAnsi="Arial"/>
                <w:sz w:val="17"/>
              </w:rPr>
              <w:t>36,00 EUR</w:t>
            </w:r>
          </w:p>
        </w:tc>
        <w:tc>
          <w:tcPr>
            <w:tcW w:type="dxa" w:w="2436"/>
            <w:vAlign w:val="center"/>
            <w:tcMar>
              <w:top w:w="90" w:type="dxa"/>
              <w:start w:w="100" w:type="dxa"/>
              <w:bottom w:w="90" w:type="dxa"/>
              <w:end w:w="100" w:type="dxa"/>
            </w:tcMar>
            <w:shd w:fill="F2F4F5"/>
          </w:tcPr>
          <w:p>
            <w:pPr>
              <w:spacing w:after="30"/>
            </w:pPr>
            <w:r>
              <w:rPr>
                <w:rFonts w:ascii="Arial" w:hAnsi="Arial"/>
                <w:sz w:val="17"/>
              </w:rPr>
              <w:t>18,00 EUR</w:t>
            </w:r>
          </w:p>
        </w:tc>
        <w:tc>
          <w:tcPr>
            <w:tcW w:type="dxa" w:w="2436"/>
            <w:vAlign w:val="center"/>
            <w:tcMar>
              <w:top w:w="90" w:type="dxa"/>
              <w:start w:w="100" w:type="dxa"/>
              <w:bottom w:w="90" w:type="dxa"/>
              <w:end w:w="100" w:type="dxa"/>
            </w:tcMar>
            <w:shd w:fill="F2F4F5"/>
          </w:tcPr>
          <w:p>
            <w:pPr>
              <w:spacing w:after="30"/>
            </w:pPr>
            <w:r>
              <w:rPr>
                <w:rFonts w:ascii="Arial" w:hAnsi="Arial"/>
                <w:sz w:val="17"/>
              </w:rPr>
              <w:t>Rechnungen Bank</w:t>
            </w:r>
          </w:p>
        </w:tc>
      </w:tr>
      <w:tr>
        <w:tc>
          <w:tcPr>
            <w:tcW w:type="dxa" w:w="2436"/>
            <w:vAlign w:val="center"/>
            <w:tcMar>
              <w:top w:w="90" w:type="dxa"/>
              <w:start w:w="100" w:type="dxa"/>
              <w:bottom w:w="90" w:type="dxa"/>
              <w:end w:w="100" w:type="dxa"/>
            </w:tcMar>
          </w:tcPr>
          <w:p>
            <w:pPr>
              <w:spacing w:after="30"/>
            </w:pPr>
            <w:r>
              <w:rPr>
                <w:rFonts w:ascii="Arial" w:hAnsi="Arial"/>
                <w:sz w:val="17"/>
              </w:rPr>
              <w:t>Kopien Originaltestamente</w:t>
            </w:r>
          </w:p>
        </w:tc>
        <w:tc>
          <w:tcPr>
            <w:tcW w:type="dxa" w:w="2436"/>
            <w:vAlign w:val="center"/>
            <w:tcMar>
              <w:top w:w="90" w:type="dxa"/>
              <w:start w:w="100" w:type="dxa"/>
              <w:bottom w:w="90" w:type="dxa"/>
              <w:end w:w="100" w:type="dxa"/>
            </w:tcMar>
          </w:tcPr>
          <w:p>
            <w:pPr>
              <w:spacing w:after="30"/>
            </w:pPr>
            <w:r>
              <w:rPr>
                <w:rFonts w:ascii="Arial" w:hAnsi="Arial"/>
                <w:sz w:val="17"/>
              </w:rPr>
              <w:t>18,60 EUR</w:t>
            </w:r>
          </w:p>
        </w:tc>
        <w:tc>
          <w:tcPr>
            <w:tcW w:type="dxa" w:w="2436"/>
            <w:vAlign w:val="center"/>
            <w:tcMar>
              <w:top w:w="90" w:type="dxa"/>
              <w:start w:w="100" w:type="dxa"/>
              <w:bottom w:w="90" w:type="dxa"/>
              <w:end w:w="100" w:type="dxa"/>
            </w:tcMar>
          </w:tcPr>
          <w:p>
            <w:pPr>
              <w:spacing w:after="30"/>
            </w:pPr>
            <w:r>
              <w:rPr>
                <w:rFonts w:ascii="Arial" w:hAnsi="Arial"/>
                <w:sz w:val="17"/>
              </w:rPr>
              <w:t>7,20 EUR</w:t>
            </w:r>
          </w:p>
        </w:tc>
        <w:tc>
          <w:tcPr>
            <w:tcW w:type="dxa" w:w="2436"/>
            <w:vAlign w:val="center"/>
            <w:tcMar>
              <w:top w:w="90" w:type="dxa"/>
              <w:start w:w="100" w:type="dxa"/>
              <w:bottom w:w="90" w:type="dxa"/>
              <w:end w:w="100" w:type="dxa"/>
            </w:tcMar>
          </w:tcPr>
          <w:p>
            <w:pPr>
              <w:spacing w:after="30"/>
            </w:pPr>
            <w:r>
              <w:rPr>
                <w:rFonts w:ascii="Arial" w:hAnsi="Arial"/>
                <w:sz w:val="17"/>
              </w:rPr>
              <w:t>Gerichtskostenbeleg</w:t>
            </w:r>
          </w:p>
        </w:tc>
      </w:tr>
      <w:tr>
        <w:tc>
          <w:tcPr>
            <w:tcW w:type="dxa" w:w="2436"/>
            <w:vAlign w:val="center"/>
            <w:tcMar>
              <w:top w:w="90" w:type="dxa"/>
              <w:start w:w="100" w:type="dxa"/>
              <w:bottom w:w="90" w:type="dxa"/>
              <w:end w:w="100" w:type="dxa"/>
            </w:tcMar>
            <w:shd w:fill="F2F4F5"/>
          </w:tcPr>
          <w:p>
            <w:pPr>
              <w:spacing w:after="30"/>
            </w:pPr>
            <w:r>
              <w:rPr>
                <w:rFonts w:ascii="Arial" w:hAnsi="Arial"/>
                <w:sz w:val="17"/>
              </w:rPr>
              <w:t>Porto / Zustellung</w:t>
            </w:r>
          </w:p>
        </w:tc>
        <w:tc>
          <w:tcPr>
            <w:tcW w:type="dxa" w:w="2436"/>
            <w:vAlign w:val="center"/>
            <w:tcMar>
              <w:top w:w="90" w:type="dxa"/>
              <w:start w:w="100" w:type="dxa"/>
              <w:bottom w:w="90" w:type="dxa"/>
              <w:end w:w="100" w:type="dxa"/>
            </w:tcMar>
            <w:shd w:fill="F2F4F5"/>
          </w:tcPr>
          <w:p>
            <w:pPr>
              <w:spacing w:after="30"/>
            </w:pPr>
            <w:r>
              <w:rPr>
                <w:rFonts w:ascii="Arial" w:hAnsi="Arial"/>
                <w:sz w:val="17"/>
              </w:rPr>
              <w:t>14,45 EUR</w:t>
            </w:r>
          </w:p>
        </w:tc>
        <w:tc>
          <w:tcPr>
            <w:tcW w:type="dxa" w:w="2436"/>
            <w:vAlign w:val="center"/>
            <w:tcMar>
              <w:top w:w="90" w:type="dxa"/>
              <w:start w:w="100" w:type="dxa"/>
              <w:bottom w:w="90" w:type="dxa"/>
              <w:end w:w="100" w:type="dxa"/>
            </w:tcMar>
            <w:shd w:fill="F2F4F5"/>
          </w:tcPr>
          <w:p>
            <w:pPr>
              <w:spacing w:after="30"/>
            </w:pPr>
            <w:r>
              <w:rPr>
                <w:rFonts w:ascii="Arial" w:hAnsi="Arial"/>
                <w:sz w:val="17"/>
              </w:rPr>
              <w:t>6,10 EUR</w:t>
            </w:r>
          </w:p>
        </w:tc>
        <w:tc>
          <w:tcPr>
            <w:tcW w:type="dxa" w:w="2436"/>
            <w:vAlign w:val="center"/>
            <w:tcMar>
              <w:top w:w="90" w:type="dxa"/>
              <w:start w:w="100" w:type="dxa"/>
              <w:bottom w:w="90" w:type="dxa"/>
              <w:end w:w="100" w:type="dxa"/>
            </w:tcMar>
            <w:shd w:fill="F2F4F5"/>
          </w:tcPr>
          <w:p>
            <w:pPr>
              <w:spacing w:after="30"/>
            </w:pPr>
            <w:r>
              <w:rPr>
                <w:rFonts w:ascii="Arial" w:hAnsi="Arial"/>
                <w:sz w:val="17"/>
              </w:rPr>
              <w:t>Postausgang</w:t>
            </w:r>
          </w:p>
        </w:tc>
      </w:tr>
    </w:tbl>
    <w:p>
      <w:pPr>
        <w:pStyle w:val="Heading1"/>
      </w:pPr>
      <w:r>
        <w:t>3. Honorar- und Vorschussstatus</w:t>
      </w:r>
    </w:p>
    <w:p>
      <w:pPr>
        <w:keepLines w:val="0"/>
      </w:pPr>
      <w:r>
        <w:t>Ein Vorschuss von 3500,00 EUR ging am 25.06.2026 ein. Zeitaufwand für die Anhörung, Registerprüfung und den Nachrichtenexport wird zunächst nach der schriftlichen Vergütungsvereinbarung erfasst. Gerichtliche Gebühren werden vor einer Rechnung mit den festgesetzten oder nachvollziehbar geschätzten Geschäftswerten abgeglichen.</w:t>
      </w:r>
    </w:p>
    <w:p>
      <w:pPr>
        <w:pStyle w:val="Heading1"/>
      </w:pPr>
      <w:r>
        <w:t>4. Freigabe</w:t>
      </w:r>
    </w:p>
    <w:p>
      <w:pPr>
        <w:keepLines w:val="0"/>
      </w:pPr>
      <w:r>
        <w:t>Der Entwurf darf erst nach Trennung der Rechnungspositionen je Erbfall und Prüfung möglicher Anrechnungstatbestände versandt werden. Bearbeitet: Isabel Neumann. Anwaltliche Prüfung offen.</w:t>
      </w:r>
    </w:p>
    <w:sectPr w:rsidR="00FC693F" w:rsidRPr="0006063C" w:rsidSect="00034616">
      <w:headerReference w:type="default" r:id="rId9"/>
      <w:footerReference w:type="default" r:id="rId10"/>
      <w:pgSz w:w="11906" w:h="16838"/>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Dr. Maren Heller, Rechtsanwältin und Fachanwältin für Erbrecht | Anderkonto DE68 6602 0500 0047 8200 31 | BIC BFSWDE33KRL | St.-Nr. 35/127/08421 | Berufshaftpflicht: JurAssekuranz AG, Karlsruhe</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Heller &amp; Brückner Rechtsanwälte</w:t>
          </w:r>
        </w:p>
        <w:p>
          <w:pPr>
            <w:spacing w:after="0"/>
          </w:pPr>
          <w:r>
            <w:rPr>
              <w:color w:val="6B7378"/>
              <w:sz w:val="15"/>
            </w:rPr>
            <w:t>Erbrecht und Vermögensnachfolge | Kaiserstraße 104 | 76133 Karlsruhe</w:t>
          </w:r>
        </w:p>
      </w:tc>
      <w:tc>
        <w:tcPr>
          <w:tcW w:type="dxa" w:w="4706"/>
        </w:tcPr>
        <w:p>
          <w:pPr>
            <w:spacing w:after="20"/>
            <w:jc w:val="right"/>
          </w:pPr>
          <w:r>
            <w:rPr>
              <w:b/>
              <w:color w:val="17324D"/>
              <w:sz w:val="18"/>
            </w:rPr>
            <w:t>Nachlässe Vogel und Radtke</w:t>
          </w:r>
        </w:p>
        <w:p>
          <w:pPr>
            <w:spacing w:after="0"/>
            <w:jc w:val="right"/>
          </w:pPr>
          <w:r>
            <w:rPr>
              <w:color w:val="6B7378"/>
              <w:sz w:val="15"/>
            </w:rPr>
            <w:t>Aktenzeichen HB-226/26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Heller &amp; Brückner Rechtsanwälte</dc:creator>
  <cp:keywords/>
  <dc:description>generated by python-docx</dc:description>
  <cp:lastModifiedBy>Heller &amp; Brückner Rechtsanwälte</cp:lastModifiedBy>
  <cp:revision>1</cp:revision>
  <dcterms:created xsi:type="dcterms:W3CDTF">2026-07-15T12:00:00Z</dcterms:created>
  <dcterms:modified xsi:type="dcterms:W3CDTF">2026-07-15T12:00:00Z</dcterms:modified>
  <cp:category/>
</cp:coreProperties>
</file>