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Mandant</w:t>
            </w:r>
          </w:p>
        </w:tc>
        <w:tc>
          <w:tcPr>
            <w:tcW w:type="dxa" w:w="3402"/>
            <w:vAlign w:val="center"/>
          </w:tcPr>
          <w:p>
            <w:r>
              <w:rPr>
                <w:rFonts w:ascii="Arial" w:hAnsi="Arial"/>
                <w:sz w:val="17"/>
              </w:rPr>
              <w:t>Moritz Rieken</w:t>
            </w:r>
          </w:p>
        </w:tc>
      </w:tr>
      <w:tr>
        <w:tc>
          <w:tcPr>
            <w:tcW w:type="dxa" w:w="1984"/>
            <w:vAlign w:val="center"/>
          </w:tcPr>
          <w:p>
            <w:r>
              <w:rPr>
                <w:rFonts w:ascii="Arial" w:hAnsi="Arial"/>
                <w:b/>
                <w:sz w:val="17"/>
              </w:rPr>
              <w:t>Datum</w:t>
            </w:r>
          </w:p>
        </w:tc>
        <w:tc>
          <w:tcPr>
            <w:tcW w:type="dxa" w:w="3402"/>
            <w:vAlign w:val="center"/>
          </w:tcPr>
          <w:p>
            <w:r>
              <w:rPr>
                <w:rFonts w:ascii="Arial" w:hAnsi="Arial"/>
                <w:sz w:val="17"/>
              </w:rPr>
              <w:t>27. Juni 2026</w:t>
            </w:r>
          </w:p>
        </w:tc>
      </w:tr>
      <w:tr>
        <w:tc>
          <w:tcPr>
            <w:tcW w:type="dxa" w:w="1984"/>
            <w:vAlign w:val="center"/>
          </w:tcPr>
          <w:p>
            <w:r>
              <w:rPr>
                <w:rFonts w:ascii="Arial" w:hAnsi="Arial"/>
                <w:b/>
                <w:sz w:val="17"/>
              </w:rPr>
              <w:t>Unser Zeichen</w:t>
            </w:r>
          </w:p>
        </w:tc>
        <w:tc>
          <w:tcPr>
            <w:tcW w:type="dxa" w:w="3402"/>
            <w:vAlign w:val="center"/>
          </w:tcPr>
          <w:p>
            <w:r>
              <w:rPr>
                <w:rFonts w:ascii="Arial" w:hAnsi="Arial"/>
                <w:sz w:val="17"/>
              </w:rPr>
              <w:t>26/381-RI/ka</w:t>
            </w:r>
          </w:p>
        </w:tc>
      </w:tr>
    </w:tbl>
    <w:p/>
    <w:p>
      <w:pPr>
        <w:pStyle w:val="Title"/>
      </w:pPr>
      <w:r>
        <w:t>Stichtags- und Belegmatrix Immobilien und Depot</w:t>
      </w:r>
    </w:p>
    <w:p>
      <w:r>
        <w:t>Die nachstehende Matrix trennt Urkundeninhalt, Wertangabe und offene Beweisfrage. Sie enthält keine abschließende Berechnung.</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2381"/>
            <w:vAlign w:val="center"/>
            <w:shd w:fill="4C2F38"/>
          </w:tcPr>
          <w:p>
            <w:r>
              <w:rPr>
                <w:rFonts w:ascii="Arial" w:hAnsi="Arial"/>
                <w:b/>
                <w:color w:val="FFFFFF"/>
                <w:sz w:val="17"/>
              </w:rPr>
              <w:t>Beleg</w:t>
            </w:r>
          </w:p>
        </w:tc>
        <w:tc>
          <w:tcPr>
            <w:tcW w:type="dxa" w:w="2381"/>
            <w:vAlign w:val="center"/>
            <w:shd w:fill="4C2F38"/>
          </w:tcPr>
          <w:p>
            <w:r>
              <w:rPr>
                <w:rFonts w:ascii="Arial" w:hAnsi="Arial"/>
                <w:b/>
                <w:color w:val="FFFFFF"/>
                <w:sz w:val="17"/>
              </w:rPr>
              <w:t>Stichtag</w:t>
            </w:r>
          </w:p>
        </w:tc>
        <w:tc>
          <w:tcPr>
            <w:tcW w:type="dxa" w:w="2381"/>
            <w:vAlign w:val="center"/>
            <w:shd w:fill="4C2F38"/>
          </w:tcPr>
          <w:p>
            <w:r>
              <w:rPr>
                <w:rFonts w:ascii="Arial" w:hAnsi="Arial"/>
                <w:b/>
                <w:color w:val="FFFFFF"/>
                <w:sz w:val="17"/>
              </w:rPr>
              <w:t>Aussage</w:t>
            </w:r>
          </w:p>
        </w:tc>
        <w:tc>
          <w:tcPr>
            <w:tcW w:type="dxa" w:w="2381"/>
            <w:vAlign w:val="center"/>
            <w:shd w:fill="4C2F38"/>
          </w:tcPr>
          <w:p>
            <w:r>
              <w:rPr>
                <w:rFonts w:ascii="Arial" w:hAnsi="Arial"/>
                <w:b/>
                <w:color w:val="FFFFFF"/>
                <w:sz w:val="17"/>
              </w:rPr>
              <w:t>Lücke</w:t>
            </w:r>
          </w:p>
        </w:tc>
      </w:tr>
      <w:tr>
        <w:tc>
          <w:tcPr>
            <w:tcW w:type="dxa" w:w="2381"/>
            <w:vAlign w:val="center"/>
          </w:tcPr>
          <w:p>
            <w:r>
              <w:rPr>
                <w:rFonts w:ascii="Arial" w:hAnsi="Arial"/>
                <w:sz w:val="17"/>
              </w:rPr>
              <w:t>Notarvertrag</w:t>
            </w:r>
          </w:p>
        </w:tc>
        <w:tc>
          <w:tcPr>
            <w:tcW w:type="dxa" w:w="2381"/>
            <w:vAlign w:val="center"/>
          </w:tcPr>
          <w:p>
            <w:r>
              <w:rPr>
                <w:rFonts w:ascii="Arial" w:hAnsi="Arial"/>
                <w:sz w:val="17"/>
              </w:rPr>
              <w:t>22.08.2019</w:t>
            </w:r>
          </w:p>
        </w:tc>
        <w:tc>
          <w:tcPr>
            <w:tcW w:type="dxa" w:w="2381"/>
            <w:vAlign w:val="center"/>
          </w:tcPr>
          <w:p>
            <w:r>
              <w:rPr>
                <w:rFonts w:ascii="Arial" w:hAnsi="Arial"/>
                <w:sz w:val="17"/>
              </w:rPr>
              <w:t>Geschäftswert 410000,00 EUR</w:t>
            </w:r>
          </w:p>
        </w:tc>
        <w:tc>
          <w:tcPr>
            <w:tcW w:type="dxa" w:w="2381"/>
            <w:vAlign w:val="center"/>
          </w:tcPr>
          <w:p>
            <w:r>
              <w:rPr>
                <w:rFonts w:ascii="Arial" w:hAnsi="Arial"/>
                <w:sz w:val="17"/>
              </w:rPr>
              <w:t>kein Verkehrswert</w:t>
            </w:r>
          </w:p>
        </w:tc>
      </w:tr>
      <w:tr>
        <w:tc>
          <w:tcPr>
            <w:tcW w:type="dxa" w:w="2381"/>
            <w:vAlign w:val="center"/>
          </w:tcPr>
          <w:p>
            <w:r>
              <w:rPr>
                <w:rFonts w:ascii="Arial" w:hAnsi="Arial"/>
                <w:sz w:val="17"/>
              </w:rPr>
              <w:t>Maklerbrief</w:t>
            </w:r>
          </w:p>
        </w:tc>
        <w:tc>
          <w:tcPr>
            <w:tcW w:type="dxa" w:w="2381"/>
            <w:vAlign w:val="center"/>
          </w:tcPr>
          <w:p>
            <w:r>
              <w:rPr>
                <w:rFonts w:ascii="Arial" w:hAnsi="Arial"/>
                <w:sz w:val="17"/>
              </w:rPr>
              <w:t>20.06.2026</w:t>
            </w:r>
          </w:p>
        </w:tc>
        <w:tc>
          <w:tcPr>
            <w:tcW w:type="dxa" w:w="2381"/>
            <w:vAlign w:val="center"/>
          </w:tcPr>
          <w:p>
            <w:r>
              <w:rPr>
                <w:rFonts w:ascii="Arial" w:hAnsi="Arial"/>
                <w:sz w:val="17"/>
              </w:rPr>
              <w:t>740000,00 bis 820000,00 EUR</w:t>
            </w:r>
          </w:p>
        </w:tc>
        <w:tc>
          <w:tcPr>
            <w:tcW w:type="dxa" w:w="2381"/>
            <w:vAlign w:val="center"/>
          </w:tcPr>
          <w:p>
            <w:r>
              <w:rPr>
                <w:rFonts w:ascii="Arial" w:hAnsi="Arial"/>
                <w:sz w:val="17"/>
              </w:rPr>
              <w:t>keine Innenbesichtigung</w:t>
            </w:r>
          </w:p>
        </w:tc>
      </w:tr>
      <w:tr>
        <w:tc>
          <w:tcPr>
            <w:tcW w:type="dxa" w:w="2381"/>
            <w:vAlign w:val="center"/>
          </w:tcPr>
          <w:p>
            <w:r>
              <w:rPr>
                <w:rFonts w:ascii="Arial" w:hAnsi="Arial"/>
                <w:sz w:val="17"/>
              </w:rPr>
              <w:t>Bankauskunft</w:t>
            </w:r>
          </w:p>
        </w:tc>
        <w:tc>
          <w:tcPr>
            <w:tcW w:type="dxa" w:w="2381"/>
            <w:vAlign w:val="center"/>
          </w:tcPr>
          <w:p>
            <w:r>
              <w:rPr>
                <w:rFonts w:ascii="Arial" w:hAnsi="Arial"/>
                <w:sz w:val="17"/>
              </w:rPr>
              <w:t>18.05.2026</w:t>
            </w:r>
          </w:p>
        </w:tc>
        <w:tc>
          <w:tcPr>
            <w:tcW w:type="dxa" w:w="2381"/>
            <w:vAlign w:val="center"/>
          </w:tcPr>
          <w:p>
            <w:r>
              <w:rPr>
                <w:rFonts w:ascii="Arial" w:hAnsi="Arial"/>
                <w:sz w:val="17"/>
              </w:rPr>
              <w:t>Anleihe und Bewegungen</w:t>
            </w:r>
          </w:p>
        </w:tc>
        <w:tc>
          <w:tcPr>
            <w:tcW w:type="dxa" w:w="2381"/>
            <w:vAlign w:val="center"/>
          </w:tcPr>
          <w:p>
            <w:r>
              <w:rPr>
                <w:rFonts w:ascii="Arial" w:hAnsi="Arial"/>
                <w:sz w:val="17"/>
              </w:rPr>
              <w:t>Zehnjahresauszüge fehlen</w:t>
            </w:r>
          </w:p>
        </w:tc>
      </w:tr>
      <w:tr>
        <w:tc>
          <w:tcPr>
            <w:tcW w:type="dxa" w:w="2381"/>
            <w:vAlign w:val="center"/>
          </w:tcPr>
          <w:p>
            <w:r>
              <w:rPr>
                <w:rFonts w:ascii="Arial" w:hAnsi="Arial"/>
                <w:sz w:val="17"/>
              </w:rPr>
              <w:t>Bodenrichtwert</w:t>
            </w:r>
          </w:p>
        </w:tc>
        <w:tc>
          <w:tcPr>
            <w:tcW w:type="dxa" w:w="2381"/>
            <w:vAlign w:val="center"/>
          </w:tcPr>
          <w:p>
            <w:r>
              <w:rPr>
                <w:rFonts w:ascii="Arial" w:hAnsi="Arial"/>
                <w:sz w:val="17"/>
              </w:rPr>
              <w:t>01.01.2026</w:t>
            </w:r>
          </w:p>
        </w:tc>
        <w:tc>
          <w:tcPr>
            <w:tcW w:type="dxa" w:w="2381"/>
            <w:vAlign w:val="center"/>
          </w:tcPr>
          <w:p>
            <w:r>
              <w:rPr>
                <w:rFonts w:ascii="Arial" w:hAnsi="Arial"/>
                <w:sz w:val="17"/>
              </w:rPr>
              <w:t>Ortsrandlage</w:t>
            </w:r>
          </w:p>
        </w:tc>
        <w:tc>
          <w:tcPr>
            <w:tcW w:type="dxa" w:w="2381"/>
            <w:vAlign w:val="center"/>
          </w:tcPr>
          <w:p>
            <w:r>
              <w:rPr>
                <w:rFonts w:ascii="Arial" w:hAnsi="Arial"/>
                <w:sz w:val="17"/>
              </w:rPr>
              <w:t>Wert 2019 nachfordern</w:t>
            </w:r>
          </w:p>
        </w:tc>
      </w:tr>
    </w:tbl>
    <w:p/>
    <w:p>
      <w:r>
        <w:t>Für den Resthof sind die Verhältnisse am 22. August 2019 und am 18. Mai 2026 getrennt zu erheben. Die Maklerspanne aus Juni 2026 beruht nur auf einer Außenbesichtigung. Bodenrichtwert, Bauzustand, Wohnungsrecht und mögliche Teilbarkeit müssen je Stichtag nachgewiesen werden.</w:t>
      </w:r>
    </w:p>
    <w:p>
      <w:r>
        <w:t>Beim Depot sind Bestand, Verkaufserlöse, Überträge und Erträge einzeln zu buchen. Die Bundesanleihe bestand laut Bankauskunft am Todestag. Der Übertrag der NordAgrar-Aktien vom 17. Juli 2024 nennt keinen Kaufpreis. Für die Teilfläche Bardowick fehlen Kaufvertrag und Zahlungsnachweis.</w:t>
      </w:r>
    </w:p>
    <w:p>
      <w:r>
        <w:t>Nachzufordern sind historische Grundbuchblätter, vollständige Zehnjahresauszüge, Depotabrechnungen, Steuerbescheinigungen und die Unterlagen zum Teilflächenverkauf 2023.</w:t>
      </w:r>
    </w:p>
    <w:p/>
    <w:p>
      <w:r>
        <w:rPr>
          <w:rFonts w:ascii="Arial" w:hAnsi="Arial"/>
          <w:b/>
          <w:sz w:val="20"/>
        </w:rPr>
        <w:t>Dr. Svenja Kalkhorst</w:t>
        <w:br/>
      </w:r>
      <w:r>
        <w:rPr>
          <w:rFonts w:ascii="Arial" w:hAnsi="Arial"/>
          <w:sz w:val="20"/>
        </w:rPr>
        <w:t>Rechtsanwältin · Fachanwältin für Erbrecht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04c_stichtags_und_belegmatrix_immobilien_depot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C2F38"/>
        <w:sz w:val="20"/>
      </w:rPr>
      <w:t>Kalkhorst · Mennecke Rechtsanwälte PartG mbB</w:t>
    </w:r>
  </w:p>
  <w:p>
    <w:pPr>
      <w:spacing w:after="0"/>
      <w:pBdr>
        <w:bottom w:val="single" w:sz="8" w:space="3" w:color="4C2F38"/>
      </w:pBdr>
    </w:pPr>
    <w:r>
      <w:rPr>
        <w:rFonts w:ascii="Arial" w:hAnsi="Arial"/>
        <w:sz w:val="16"/>
      </w:rPr>
      <w:t>Am Berge 12, 21335 Lüneburg | Telefon 04131 744 21-0 | Telefax 04131 744 21-29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C2F3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C2F3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C2F3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Stichtags- und Belegmatrix Immobilien und Depot</dc:title>
  <dc:subject/>
  <dc:creator>Kalkhorst · Mennecke Rechtsanwälte PartG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