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w:t>
            </w:r>
          </w:p>
        </w:tc>
        <w:tc>
          <w:tcPr>
            <w:tcW w:type="dxa" w:w="3402"/>
            <w:vAlign w:val="center"/>
          </w:tcPr>
          <w:p>
            <w:r>
              <w:rPr>
                <w:rFonts w:ascii="Arial" w:hAnsi="Arial"/>
                <w:sz w:val="17"/>
              </w:rPr>
              <w:t>Moritz Rieken</w:t>
            </w:r>
          </w:p>
        </w:tc>
      </w:tr>
      <w:tr>
        <w:tc>
          <w:tcPr>
            <w:tcW w:type="dxa" w:w="1984"/>
            <w:vAlign w:val="center"/>
          </w:tcPr>
          <w:p>
            <w:r>
              <w:rPr>
                <w:rFonts w:ascii="Arial" w:hAnsi="Arial"/>
                <w:b/>
                <w:sz w:val="17"/>
              </w:rPr>
              <w:t>Datum</w:t>
            </w:r>
          </w:p>
        </w:tc>
        <w:tc>
          <w:tcPr>
            <w:tcW w:type="dxa" w:w="3402"/>
            <w:vAlign w:val="center"/>
          </w:tcPr>
          <w:p>
            <w:r>
              <w:rPr>
                <w:rFonts w:ascii="Arial" w:hAnsi="Arial"/>
                <w:sz w:val="17"/>
              </w:rPr>
              <w:t>20. Juni 2026</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26/381-RI/ka</w:t>
            </w:r>
          </w:p>
        </w:tc>
      </w:tr>
    </w:tbl>
    <w:p/>
    <w:p>
      <w:pPr>
        <w:pStyle w:val="Title"/>
      </w:pPr>
      <w:r>
        <w:t>Belegvermerk zur NordBank-Auskunft</w:t>
      </w:r>
    </w:p>
    <w:p>
      <w:r>
        <w:t>Die NordBank-Auskunft ist auf Buchungen über 5000,00 Euro beschränkt. Wiederkehrende kleinere Zahlungen und mögliche Aufteilungen einer größeren Zuwendung können daher fehlen. Die Freigabe der Erbin ist im Original anzufordern.</w:t>
      </w:r>
    </w:p>
    <w:p>
      <w:r>
        <w:t>Auffällig sind der Depotverkauf und die nahezu gleich hohe Überweisung am selben Tag, der Aktienübertrag ohne Kaufpreis und zwei Barabhebungen ohne Empfänger. Für jede Position sind Auftrag, Valuta, Empfängerkonto und möglicher Rechtsgrund gesondert zu belegen.</w:t>
      </w:r>
    </w:p>
    <w:p>
      <w:r>
        <w:t>Die Bundesanleihe über 80000,00 Euro nominal bestand am Todestag, fehlt aber im privaten Nachlassverzeichnis. Vor einer Bewertung sind Kurswert am Todestag, aufgelaufene Stückzinsen und etwaige Depotverbindlichkeiten zu ermitteln.</w:t>
      </w:r>
    </w:p>
    <w:p>
      <w:r>
        <w:t>Nächste Schritte: Freigabe für vollständige Auszüge 2016 bis 2026, Originalübertragungsauftrag NordAgrar, Wertpapierabrechnung Deka, Belege zum Umbau Altenteil und Vernehmungsbereitschaft der Bankmitarbeiterin Helena Bartels klären. Die Kanzlei ordnet keine Buchung ohne Beleg als Schenkung ein.</w:t>
      </w:r>
    </w:p>
    <w:p/>
    <w:p>
      <w:r>
        <w:rPr>
          <w:rFonts w:ascii="Arial" w:hAnsi="Arial"/>
          <w:b/>
          <w:sz w:val="20"/>
        </w:rPr>
        <w:t>Dr. Svenja Kalkhorst</w:t>
        <w:br/>
      </w:r>
      <w:r>
        <w:rPr>
          <w:rFonts w:ascii="Arial" w:hAnsi="Arial"/>
          <w:sz w:val="20"/>
        </w:rPr>
        <w:t>Rechtsanwältin · Fachanwältin für Erbrecht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08b_kanzleivermerk_bankauskunft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Kalkhorst · Mennecke Rechtsanwälte PartG mbB</w:t>
    </w:r>
  </w:p>
  <w:p>
    <w:pPr>
      <w:spacing w:after="0"/>
      <w:pBdr>
        <w:bottom w:val="single" w:sz="8" w:space="3" w:color="4C2F38"/>
      </w:pBdr>
    </w:pPr>
    <w:r>
      <w:rPr>
        <w:rFonts w:ascii="Arial" w:hAnsi="Arial"/>
        <w:sz w:val="16"/>
      </w:rPr>
      <w:t>Am Berge 12, 21335 Lüneburg | Telefon 04131 744 21-0 | Telefax 04131 744 21-29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Belegvermerk zur NordBank-Auskunft</dc:title>
  <dc:subject/>
  <dc:creator>Kalkhorst · Mennecke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