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Geschäftszeichen</w:t>
            </w:r>
          </w:p>
        </w:tc>
        <w:tc>
          <w:tcPr>
            <w:tcW w:type="dxa" w:w="3402"/>
            <w:vAlign w:val="center"/>
          </w:tcPr>
          <w:p>
            <w:r>
              <w:rPr>
                <w:rFonts w:ascii="Arial" w:hAnsi="Arial"/>
                <w:sz w:val="17"/>
              </w:rPr>
              <w:t>4 VI 218/26</w:t>
            </w:r>
          </w:p>
        </w:tc>
      </w:tr>
      <w:tr>
        <w:tc>
          <w:tcPr>
            <w:tcW w:type="dxa" w:w="1984"/>
            <w:vAlign w:val="center"/>
          </w:tcPr>
          <w:p>
            <w:r>
              <w:rPr>
                <w:rFonts w:ascii="Arial" w:hAnsi="Arial"/>
                <w:b/>
                <w:sz w:val="17"/>
              </w:rPr>
              <w:t>Eröffnung</w:t>
            </w:r>
          </w:p>
        </w:tc>
        <w:tc>
          <w:tcPr>
            <w:tcW w:type="dxa" w:w="3402"/>
            <w:vAlign w:val="center"/>
          </w:tcPr>
          <w:p>
            <w:r>
              <w:rPr>
                <w:rFonts w:ascii="Arial" w:hAnsi="Arial"/>
                <w:sz w:val="17"/>
              </w:rPr>
              <w:t>5. Juni 2026</w:t>
            </w:r>
          </w:p>
        </w:tc>
      </w:tr>
      <w:tr>
        <w:tc>
          <w:tcPr>
            <w:tcW w:type="dxa" w:w="1984"/>
            <w:vAlign w:val="center"/>
          </w:tcPr>
          <w:p>
            <w:r>
              <w:rPr>
                <w:rFonts w:ascii="Arial" w:hAnsi="Arial"/>
                <w:b/>
                <w:sz w:val="17"/>
              </w:rPr>
              <w:t>Verwahrung</w:t>
            </w:r>
          </w:p>
        </w:tc>
        <w:tc>
          <w:tcPr>
            <w:tcW w:type="dxa" w:w="3402"/>
            <w:vAlign w:val="center"/>
          </w:tcPr>
          <w:p>
            <w:r>
              <w:rPr>
                <w:rFonts w:ascii="Arial" w:hAnsi="Arial"/>
                <w:sz w:val="17"/>
              </w:rPr>
              <w:t>Sonderband Testamente, Blatt 3</w:t>
            </w:r>
          </w:p>
        </w:tc>
      </w:tr>
    </w:tbl>
    <w:p/>
    <w:p>
      <w:pPr>
        <w:pStyle w:val="Title"/>
      </w:pPr>
      <w:r>
        <w:t>Eröffnungsniederschrift – beglaubigte Abschrift</w:t>
      </w:r>
    </w:p>
    <w:p>
      <w:r>
        <w:t>Amtsgericht Lüneburg, Geschäftszeichen 4 VI 218/26</w:t>
      </w:r>
    </w:p>
    <w:p>
      <w:r>
        <w:t>Gegenwärtig: Richterin am Amtsgericht Dr. Scholz als Nachlassrichterin, Justizamtsinspektor Behrens als Urkundsbeamter der Geschäftsstelle.</w:t>
      </w:r>
    </w:p>
    <w:p>
      <w:r>
        <w:t>Lüneburg, den 05.06.2026</w:t>
      </w:r>
    </w:p>
    <w:p>
      <w:r>
        <w:t>In der Nachlasssache Helmut Rieken, geboren am 04.01.1946, verstorben am 18.05.2026, zuletzt wohnhaft in Kirchgellersen, wurde heute die nachstehend bezeichnete Verfügung von Todes wegen eröffnet:</w:t>
      </w:r>
    </w:p>
    <w:p>
      <w:r>
        <w:t>Eigenhändiges Testament vom 17.11.2022, abgeliefert am 28.05.2026 durch Frau Alva Rieken. Das Testament besteht aus einem Blatt, ist durchgehend handschriftlich verfasst, mit Ort und Datum versehen und mit „Helmut Rieken" unterschrieben.</w:t>
      </w:r>
    </w:p>
    <w:p>
      <w:r>
        <w:t>Der wesentliche Inhalt lautet: Einsetzung der Tochter Alva Rieken zur Alleinerbin; der Sohn Moritz Rieken soll nichts erhalten, weil er bereits zu Lebzeiten unterstützt wurde und den Kontakt abgebrochen hat.</w:t>
      </w:r>
    </w:p>
    <w:p>
      <w:r>
        <w:t>Weitere Verfügungen von Todes wegen sind nicht in amtlicher Verwahrung und wurden nicht abgeliefert. Die Beteiligten erhalten beglaubigte Abschriften.</w:t>
      </w:r>
    </w:p>
    <w:p>
      <w:r>
        <w:t>gez. Dr. Scholz — gez. Behrens</w:t>
      </w:r>
    </w:p>
    <w:p>
      <w:r>
        <w:t>Die Abschriften wurden für Alva Rieken und Moritz Rieken hergestellt. Weitere Beteiligte sind nach dem gegenwärtigen Aktenstand nicht bekannt. Eine Prüfung zivilrechtlicher Ansprüche außerhalb des Erbscheinsverfahrens ist nicht Gegenstand der Eröffnung.</w:t>
      </w:r>
    </w:p>
    <w:p>
      <w:r>
        <w:t>Beglaubigungsvermerk: Die vorstehende Abschrift stimmt mit der Urschrift der Niederschrift in der Gerichtsakte überein.</w:t>
      </w:r>
    </w:p>
    <w:p/>
    <w:p>
      <w:r>
        <w:rPr>
          <w:rFonts w:ascii="Arial" w:hAnsi="Arial"/>
          <w:b/>
          <w:sz w:val="20"/>
        </w:rPr>
        <w:t>Dr. Scholz</w:t>
        <w:br/>
      </w:r>
      <w:r>
        <w:rPr>
          <w:rFonts w:ascii="Arial" w:hAnsi="Arial"/>
          <w:sz w:val="20"/>
        </w:rPr>
        <w:t>Richterin am Amtsgericht</w:t>
        <w:br/>
      </w:r>
      <w:r>
        <w:rPr>
          <w:rFonts w:ascii="Arial" w:hAnsi="Arial"/>
          <w:sz w:val="20"/>
        </w:rPr>
        <w:t>Jan Behrens, Geschäftsstelle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12b_eröffnungsniederschrift_2026-06-05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Lüneburg · Nachlassgericht</w:t>
    </w:r>
  </w:p>
  <w:p>
    <w:pPr>
      <w:spacing w:after="0"/>
      <w:pBdr>
        <w:bottom w:val="single" w:sz="8" w:space="3" w:color="3B3B3B"/>
      </w:pBdr>
    </w:pPr>
    <w:r>
      <w:rPr>
        <w:rFonts w:ascii="Arial" w:hAnsi="Arial"/>
        <w:sz w:val="16"/>
      </w:rPr>
      <w:t>Am Ochsenmarkt 3, 21335 Lüneburg | Telefon 04131 202-0 | Geschäftsstelle VI-Sachen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Eröffnungsniederschrift – beglaubigte Abschrift</dc:title>
  <dc:subject/>
  <dc:creator>Amtsgericht Lüneburg · Nachlassgericht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