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Zeitraum</w:t>
            </w:r>
          </w:p>
        </w:tc>
        <w:tc>
          <w:tcPr>
            <w:tcW w:type="dxa" w:w="3402"/>
            <w:vAlign w:val="center"/>
          </w:tcPr>
          <w:p>
            <w:r>
              <w:rPr>
                <w:rFonts w:ascii="Arial" w:hAnsi="Arial"/>
                <w:sz w:val="17"/>
              </w:rPr>
              <w:t>November 2022 bis 18. Mai 2026</w:t>
            </w:r>
          </w:p>
        </w:tc>
      </w:tr>
      <w:tr>
        <w:tc>
          <w:tcPr>
            <w:tcW w:type="dxa" w:w="1984"/>
            <w:vAlign w:val="center"/>
          </w:tcPr>
          <w:p>
            <w:r>
              <w:rPr>
                <w:rFonts w:ascii="Arial" w:hAnsi="Arial"/>
                <w:b/>
                <w:sz w:val="17"/>
              </w:rPr>
              <w:t>Übertragen</w:t>
            </w:r>
          </w:p>
        </w:tc>
        <w:tc>
          <w:tcPr>
            <w:tcW w:type="dxa" w:w="3402"/>
            <w:vAlign w:val="center"/>
          </w:tcPr>
          <w:p>
            <w:r>
              <w:rPr>
                <w:rFonts w:ascii="Arial" w:hAnsi="Arial"/>
                <w:sz w:val="17"/>
              </w:rPr>
              <w:t>2. Juni 2026</w:t>
            </w:r>
          </w:p>
        </w:tc>
      </w:tr>
      <w:tr>
        <w:tc>
          <w:tcPr>
            <w:tcW w:type="dxa" w:w="1984"/>
            <w:vAlign w:val="center"/>
          </w:tcPr>
          <w:p>
            <w:r>
              <w:rPr>
                <w:rFonts w:ascii="Arial" w:hAnsi="Arial"/>
                <w:b/>
                <w:sz w:val="17"/>
              </w:rPr>
              <w:t>Gesamtansatz</w:t>
            </w:r>
          </w:p>
        </w:tc>
        <w:tc>
          <w:tcPr>
            <w:tcW w:type="dxa" w:w="3402"/>
            <w:vAlign w:val="center"/>
          </w:tcPr>
          <w:p>
            <w:r>
              <w:rPr>
                <w:rFonts w:ascii="Arial" w:hAnsi="Arial"/>
                <w:sz w:val="17"/>
              </w:rPr>
              <w:t>864 Stunden</w:t>
            </w:r>
          </w:p>
        </w:tc>
      </w:tr>
    </w:tbl>
    <w:p/>
    <w:p>
      <w:pPr>
        <w:pStyle w:val="Title"/>
      </w:pPr>
      <w:r>
        <w:t>Übertragung aus dem Pflege- und Betreuungskalender</w:t>
      </w:r>
    </w:p>
    <w:p>
      <w:r>
        <w:t>Die Aufstellung wurde aus Wandkalendern, Tankbelegen und einzelnen Nachrichten übertragen. Originalkalender befinden sich nach Angabe von Alva Rieken in einem Umzugskarton im Hauswirtschaftsraum. Zeitangaben ohne Anfang und Ende wurden nicht minutengenau nachberechnet.</w:t>
      </w:r>
    </w:p>
    <w:tbl>
      <w:tblPr>
        <w:tblStyle w:val="TableGrid"/>
        <w:tblW w:type="auto" w:w="0"/>
        <w:jc w:val="center"/>
        <w:tblLook w:firstColumn="1" w:firstRow="1" w:lastColumn="0" w:lastRow="0" w:noHBand="0" w:noVBand="1" w:val="04A0"/>
      </w:tblPr>
      <w:tblGrid>
        <w:gridCol w:w="1905"/>
        <w:gridCol w:w="1905"/>
        <w:gridCol w:w="1905"/>
        <w:gridCol w:w="1905"/>
        <w:gridCol w:w="1905"/>
      </w:tblGrid>
      <w:tr>
        <w:tc>
          <w:tcPr>
            <w:tcW w:type="dxa" w:w="1905"/>
            <w:vAlign w:val="center"/>
            <w:shd w:fill="4C5A37"/>
          </w:tcPr>
          <w:p>
            <w:r>
              <w:rPr>
                <w:rFonts w:ascii="Arial" w:hAnsi="Arial"/>
                <w:b/>
                <w:color w:val="FFFFFF"/>
                <w:sz w:val="17"/>
              </w:rPr>
              <w:t>Zeitraum</w:t>
            </w:r>
          </w:p>
        </w:tc>
        <w:tc>
          <w:tcPr>
            <w:tcW w:type="dxa" w:w="1905"/>
            <w:vAlign w:val="center"/>
            <w:shd w:fill="4C5A37"/>
          </w:tcPr>
          <w:p>
            <w:r>
              <w:rPr>
                <w:rFonts w:ascii="Arial" w:hAnsi="Arial"/>
                <w:b/>
                <w:color w:val="FFFFFF"/>
                <w:sz w:val="17"/>
              </w:rPr>
              <w:t>Stunden Alva</w:t>
            </w:r>
          </w:p>
        </w:tc>
        <w:tc>
          <w:tcPr>
            <w:tcW w:type="dxa" w:w="1905"/>
            <w:vAlign w:val="center"/>
            <w:shd w:fill="4C5A37"/>
          </w:tcPr>
          <w:p>
            <w:r>
              <w:rPr>
                <w:rFonts w:ascii="Arial" w:hAnsi="Arial"/>
                <w:b/>
                <w:color w:val="FFFFFF"/>
                <w:sz w:val="17"/>
              </w:rPr>
              <w:t>Pflegedienst</w:t>
            </w:r>
          </w:p>
        </w:tc>
        <w:tc>
          <w:tcPr>
            <w:tcW w:type="dxa" w:w="1905"/>
            <w:vAlign w:val="center"/>
            <w:shd w:fill="4C5A37"/>
          </w:tcPr>
          <w:p>
            <w:r>
              <w:rPr>
                <w:rFonts w:ascii="Arial" w:hAnsi="Arial"/>
                <w:b/>
                <w:color w:val="FFFFFF"/>
                <w:sz w:val="17"/>
              </w:rPr>
              <w:t>Zahlungen Helmut</w:t>
            </w:r>
          </w:p>
        </w:tc>
        <w:tc>
          <w:tcPr>
            <w:tcW w:type="dxa" w:w="1905"/>
            <w:vAlign w:val="center"/>
            <w:shd w:fill="4C5A37"/>
          </w:tcPr>
          <w:p>
            <w:r>
              <w:rPr>
                <w:rFonts w:ascii="Arial" w:hAnsi="Arial"/>
                <w:b/>
                <w:color w:val="FFFFFF"/>
                <w:sz w:val="17"/>
              </w:rPr>
              <w:t>Klärung</w:t>
            </w:r>
          </w:p>
        </w:tc>
      </w:tr>
      <w:tr>
        <w:tc>
          <w:tcPr>
            <w:tcW w:type="dxa" w:w="1905"/>
            <w:vAlign w:val="center"/>
          </w:tcPr>
          <w:p>
            <w:r>
              <w:rPr>
                <w:rFonts w:ascii="Arial" w:hAnsi="Arial"/>
                <w:sz w:val="17"/>
              </w:rPr>
              <w:t>11/2022–12/2023</w:t>
            </w:r>
          </w:p>
        </w:tc>
        <w:tc>
          <w:tcPr>
            <w:tcW w:type="dxa" w:w="1905"/>
            <w:vAlign w:val="center"/>
          </w:tcPr>
          <w:p>
            <w:r>
              <w:rPr>
                <w:rFonts w:ascii="Arial" w:hAnsi="Arial"/>
                <w:sz w:val="17"/>
              </w:rPr>
              <w:t>214</w:t>
            </w:r>
          </w:p>
        </w:tc>
        <w:tc>
          <w:tcPr>
            <w:tcW w:type="dxa" w:w="1905"/>
            <w:vAlign w:val="center"/>
          </w:tcPr>
          <w:p>
            <w:r>
              <w:rPr>
                <w:rFonts w:ascii="Arial" w:hAnsi="Arial"/>
                <w:sz w:val="17"/>
              </w:rPr>
              <w:t>ab 08/2023</w:t>
            </w:r>
          </w:p>
        </w:tc>
        <w:tc>
          <w:tcPr>
            <w:tcW w:type="dxa" w:w="1905"/>
            <w:vAlign w:val="center"/>
          </w:tcPr>
          <w:p>
            <w:r>
              <w:rPr>
                <w:rFonts w:ascii="Arial" w:hAnsi="Arial"/>
                <w:sz w:val="17"/>
              </w:rPr>
              <w:t>1800,00 EUR</w:t>
            </w:r>
          </w:p>
        </w:tc>
        <w:tc>
          <w:tcPr>
            <w:tcW w:type="dxa" w:w="1905"/>
            <w:vAlign w:val="center"/>
          </w:tcPr>
          <w:p>
            <w:r>
              <w:rPr>
                <w:rFonts w:ascii="Arial" w:hAnsi="Arial"/>
                <w:sz w:val="17"/>
              </w:rPr>
              <w:t>Familienbesuche abgrenzen</w:t>
            </w:r>
          </w:p>
        </w:tc>
      </w:tr>
      <w:tr>
        <w:tc>
          <w:tcPr>
            <w:tcW w:type="dxa" w:w="1905"/>
            <w:vAlign w:val="center"/>
          </w:tcPr>
          <w:p>
            <w:r>
              <w:rPr>
                <w:rFonts w:ascii="Arial" w:hAnsi="Arial"/>
                <w:sz w:val="17"/>
              </w:rPr>
              <w:t>01/2024–12/2024</w:t>
            </w:r>
          </w:p>
        </w:tc>
        <w:tc>
          <w:tcPr>
            <w:tcW w:type="dxa" w:w="1905"/>
            <w:vAlign w:val="center"/>
          </w:tcPr>
          <w:p>
            <w:r>
              <w:rPr>
                <w:rFonts w:ascii="Arial" w:hAnsi="Arial"/>
                <w:sz w:val="17"/>
              </w:rPr>
              <w:t>326</w:t>
            </w:r>
          </w:p>
        </w:tc>
        <w:tc>
          <w:tcPr>
            <w:tcW w:type="dxa" w:w="1905"/>
            <w:vAlign w:val="center"/>
          </w:tcPr>
          <w:p>
            <w:r>
              <w:rPr>
                <w:rFonts w:ascii="Arial" w:hAnsi="Arial"/>
                <w:sz w:val="17"/>
              </w:rPr>
              <w:t>zwei Termine wöchentlich</w:t>
            </w:r>
          </w:p>
        </w:tc>
        <w:tc>
          <w:tcPr>
            <w:tcW w:type="dxa" w:w="1905"/>
            <w:vAlign w:val="center"/>
          </w:tcPr>
          <w:p>
            <w:r>
              <w:rPr>
                <w:rFonts w:ascii="Arial" w:hAnsi="Arial"/>
                <w:sz w:val="17"/>
              </w:rPr>
              <w:t>3600,00 EUR</w:t>
            </w:r>
          </w:p>
        </w:tc>
        <w:tc>
          <w:tcPr>
            <w:tcW w:type="dxa" w:w="1905"/>
            <w:vAlign w:val="center"/>
          </w:tcPr>
          <w:p>
            <w:r>
              <w:rPr>
                <w:rFonts w:ascii="Arial" w:hAnsi="Arial"/>
                <w:sz w:val="17"/>
              </w:rPr>
              <w:t>Doppelzeiten prüfen</w:t>
            </w:r>
          </w:p>
        </w:tc>
      </w:tr>
      <w:tr>
        <w:tc>
          <w:tcPr>
            <w:tcW w:type="dxa" w:w="1905"/>
            <w:vAlign w:val="center"/>
          </w:tcPr>
          <w:p>
            <w:r>
              <w:rPr>
                <w:rFonts w:ascii="Arial" w:hAnsi="Arial"/>
                <w:sz w:val="17"/>
              </w:rPr>
              <w:t>01/2025–18.05.2026</w:t>
            </w:r>
          </w:p>
        </w:tc>
        <w:tc>
          <w:tcPr>
            <w:tcW w:type="dxa" w:w="1905"/>
            <w:vAlign w:val="center"/>
          </w:tcPr>
          <w:p>
            <w:r>
              <w:rPr>
                <w:rFonts w:ascii="Arial" w:hAnsi="Arial"/>
                <w:sz w:val="17"/>
              </w:rPr>
              <w:t>324</w:t>
            </w:r>
          </w:p>
        </w:tc>
        <w:tc>
          <w:tcPr>
            <w:tcW w:type="dxa" w:w="1905"/>
            <w:vAlign w:val="center"/>
          </w:tcPr>
          <w:p>
            <w:r>
              <w:rPr>
                <w:rFonts w:ascii="Arial" w:hAnsi="Arial"/>
                <w:sz w:val="17"/>
              </w:rPr>
              <w:t>drei Termine wöchentlich</w:t>
            </w:r>
          </w:p>
        </w:tc>
        <w:tc>
          <w:tcPr>
            <w:tcW w:type="dxa" w:w="1905"/>
            <w:vAlign w:val="center"/>
          </w:tcPr>
          <w:p>
            <w:r>
              <w:rPr>
                <w:rFonts w:ascii="Arial" w:hAnsi="Arial"/>
                <w:sz w:val="17"/>
              </w:rPr>
              <w:t>4200,00 EUR</w:t>
            </w:r>
          </w:p>
        </w:tc>
        <w:tc>
          <w:tcPr>
            <w:tcW w:type="dxa" w:w="1905"/>
            <w:vAlign w:val="center"/>
          </w:tcPr>
          <w:p>
            <w:r>
              <w:rPr>
                <w:rFonts w:ascii="Arial" w:hAnsi="Arial"/>
                <w:sz w:val="17"/>
              </w:rPr>
              <w:t>Nachtbereitschaft belegen</w:t>
            </w:r>
          </w:p>
        </w:tc>
      </w:tr>
    </w:tbl>
    <w:p/>
    <w:p>
      <w:r>
        <w:t>Typische Einträge betreffen Fahrten zu Hausarzt und Augenklinik, Einkauf, Reinigung, Bearbeitung von Behördenpost und Nachtbereitschaft. Für 17 Termine besteht eine zeitliche Überschneidung mit dokumentierten Einsätzen des ambulanten Pflegedienstes. Bei weiteren 24 Einträgen ist nicht erkennbar, ob Alva gleichzeitig eigene Hofarbeiten erledigte.</w:t>
      </w:r>
    </w:p>
    <w:p>
      <w:r>
        <w:t>Zahlungen Helmut Riekens von zusammen 9600,00 Euro sind im Kalender mit den Vermerken Aufwand, Fahrt oder Danke gekennzeichnet. Eine Stundenvergütung, ein verbindlicher Stundensatz oder eine schriftliche Pflegevereinbarung ist in der Aufstellung nicht enthalten.</w:t>
      </w:r>
    </w:p>
    <w:p>
      <w:r>
        <w:t>Offen sind Originalkalender, Tankbelege für 2022 und 2023, die genaue Abgrenzung zu Familienbesuchen und die Frage, welche Kosten bereits aus Pflegegeld oder Erstattungen beglichen wurden.</w:t>
      </w:r>
    </w:p>
    <w:p/>
    <w:p>
      <w:r>
        <w:rPr>
          <w:rFonts w:ascii="Arial" w:hAnsi="Arial"/>
          <w:b/>
          <w:sz w:val="20"/>
        </w:rPr>
        <w:t>Alva Rieken</w:t>
        <w:br/>
      </w:r>
      <w:r>
        <w:rPr>
          <w:rFonts w:ascii="Arial" w:hAnsi="Arial"/>
          <w:sz w:val="20"/>
        </w:rPr>
        <w:t>Übertragung nach bestem Wissen erstellt</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99b_pflegekalender_alva_rieken_2022_2026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4C5A37"/>
        <w:sz w:val="20"/>
      </w:rPr>
      <w:t>Alva Rieken · private Aufstellung</w:t>
    </w:r>
  </w:p>
  <w:p>
    <w:pPr>
      <w:spacing w:after="0"/>
      <w:pBdr>
        <w:bottom w:val="single" w:sz="8" w:space="3" w:color="4C5A37"/>
      </w:pBdr>
    </w:pPr>
    <w:r>
      <w:rPr>
        <w:rFonts w:ascii="Arial" w:hAnsi="Arial"/>
        <w:sz w:val="16"/>
      </w:rPr>
      <w:t>Im Dorfe 17, 21394 Kirchgellersen | Unterlagenordner Pflege Vater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4C5A37"/>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C5A3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4C5A37"/>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Übertragung aus dem Pflege- und Betreuungskalender</dc:title>
  <dc:subject/>
  <dc:creator>Alva Rieken · private Aufstellung</dc:creator>
  <cp:keywords/>
  <dc:description>generated by python-docx</dc:description>
  <cp:lastModifiedBy/>
  <cp:revision>1</cp:revision>
  <dcterms:created xsi:type="dcterms:W3CDTF">2013-12-23T23:15:00Z</dcterms:created>
  <dcterms:modified xsi:type="dcterms:W3CDTF">2013-12-23T23:15:00Z</dcterms:modified>
  <cp:category/>
</cp:coreProperties>
</file>