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Eingang</w:t>
            </w:r>
          </w:p>
        </w:tc>
        <w:tc>
          <w:tcPr>
            <w:tcW w:type="dxa" w:w="3402"/>
            <w:vAlign w:val="center"/>
          </w:tcPr>
          <w:p>
            <w:r>
              <w:rPr>
                <w:rFonts w:ascii="Arial" w:hAnsi="Arial"/>
                <w:sz w:val="17"/>
              </w:rPr>
              <w:t>13. Juli 2026, 15:42 Uhr</w:t>
            </w:r>
          </w:p>
        </w:tc>
      </w:tr>
      <w:tr>
        <w:tc>
          <w:tcPr>
            <w:tcW w:type="dxa" w:w="1984"/>
            <w:vAlign w:val="center"/>
          </w:tcPr>
          <w:p>
            <w:r>
              <w:rPr>
                <w:rFonts w:ascii="Arial" w:hAnsi="Arial"/>
                <w:b/>
                <w:sz w:val="17"/>
              </w:rPr>
              <w:t>Absender</w:t>
            </w:r>
          </w:p>
        </w:tc>
        <w:tc>
          <w:tcPr>
            <w:tcW w:type="dxa" w:w="3402"/>
            <w:vAlign w:val="center"/>
          </w:tcPr>
          <w:p>
            <w:r>
              <w:rPr>
                <w:rFonts w:ascii="Arial" w:hAnsi="Arial"/>
                <w:sz w:val="17"/>
              </w:rPr>
              <w:t>Rechtsanwältin Petra Ohlendorf</w:t>
            </w:r>
          </w:p>
        </w:tc>
      </w:tr>
      <w:tr>
        <w:tc>
          <w:tcPr>
            <w:tcW w:type="dxa" w:w="1984"/>
            <w:vAlign w:val="center"/>
          </w:tcPr>
          <w:p>
            <w:r>
              <w:rPr>
                <w:rFonts w:ascii="Arial" w:hAnsi="Arial"/>
                <w:b/>
                <w:sz w:val="17"/>
              </w:rPr>
              <w:t>Unser Zeichen</w:t>
            </w:r>
          </w:p>
        </w:tc>
        <w:tc>
          <w:tcPr>
            <w:tcW w:type="dxa" w:w="3402"/>
            <w:vAlign w:val="center"/>
          </w:tcPr>
          <w:p>
            <w:r>
              <w:rPr>
                <w:rFonts w:ascii="Arial" w:hAnsi="Arial"/>
                <w:sz w:val="17"/>
              </w:rPr>
              <w:t>26/381-RI/ka</w:t>
            </w:r>
          </w:p>
        </w:tc>
      </w:tr>
    </w:tbl>
    <w:p/>
    <w:p>
      <w:pPr>
        <w:pStyle w:val="Title"/>
      </w:pPr>
      <w:r>
        <w:t>Eingangs- und Belegabgleich der nachgereichten Unterlagen</w:t>
      </w:r>
    </w:p>
    <w:p>
      <w:r>
        <w:t>Eingegangen sind eine Kopie des Landpachtvertrags, die übertragene Pflegeaufstellung, ein Schreiben des Pflegezentrums und zwölf Zahlungsbelege. Die Originale des Pachtvertrags und der Kalender wurden nicht vorgelegt.</w:t>
      </w:r>
    </w:p>
    <w:p>
      <w:r>
        <w:t>Der handschriftliche Zusatz zum Pachtvertrag ist auf der Kopie sichtbar, sein Entstehungszeitpunkt aber nicht feststellbar. Die Zahlungen 2020 bis 2024 gingen auf das Konto Helmut Riekens, die Zahlung 2025 auf das Konto Alva Riekens. Der Pächter ist zur Herkunft des Zusatzes und zur Kontoumstellung zu befragen.</w:t>
      </w:r>
    </w:p>
    <w:p>
      <w:r>
        <w:t>Pflegezeiten überschneiden sich teilweise mit Pflegediensteinsätzen. Zahlungen, tatsächlicher Empfänger, Rechtsgrund, bereits erfolgte Erstattung und Zusammenhang mit der Hofübertragung sind je Position getrennt zu erfassen. Pacht, Pflege, Unterhalt und familiäre Hilfe werden nicht pauschal saldiert.</w:t>
      </w:r>
    </w:p>
    <w:p>
      <w:r>
        <w:t>Ablage: Pachtvertrag Stück 99a, Pflegekalender Stück 99b, Heimschreiben Stück 99c. Die zwölf Zahlungsbelege erhalten die Kennzeichen Z-01 bis Z-12. Wiedervorlage zur Originalanforderung am 20. Juli 2026.</w:t>
      </w:r>
    </w:p>
    <w:p/>
    <w:p>
      <w:r>
        <w:rPr>
          <w:rFonts w:ascii="Arial" w:hAnsi="Arial"/>
          <w:b/>
          <w:sz w:val="20"/>
        </w:rPr>
        <w:t>Dr. Svenja Kalkhorst</w:t>
        <w:br/>
      </w:r>
      <w:r>
        <w:rPr>
          <w:rFonts w:ascii="Arial" w:hAnsi="Arial"/>
          <w:sz w:val="20"/>
        </w:rPr>
        <w:t>Rechtsanwältin · Fachanwältin für Erbrecht</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99d_eingangs_und_belegabgleich_nachtrag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4C2F38"/>
        <w:sz w:val="20"/>
      </w:rPr>
      <w:t>Kalkhorst · Mennecke Rechtsanwälte PartG mbB</w:t>
    </w:r>
  </w:p>
  <w:p>
    <w:pPr>
      <w:spacing w:after="0"/>
      <w:pBdr>
        <w:bottom w:val="single" w:sz="8" w:space="3" w:color="4C2F38"/>
      </w:pBdr>
    </w:pPr>
    <w:r>
      <w:rPr>
        <w:rFonts w:ascii="Arial" w:hAnsi="Arial"/>
        <w:sz w:val="16"/>
      </w:rPr>
      <w:t>Am Berge 12, 21335 Lüneburg | Telefon 04131 744 21-0 | Telefax 04131 744 21-29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4C2F3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C2F3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4C2F38"/>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Eingangs- und Belegabgleich der nachgereichten Unterlagen</dc:title>
  <dc:subject/>
  <dc:creator>Kalkhorst · Mennecke Rechtsanwälte PartG mbB</dc:creator>
  <cp:keywords/>
  <dc:description>generated by python-docx</dc:description>
  <cp:lastModifiedBy/>
  <cp:revision>1</cp:revision>
  <dcterms:created xsi:type="dcterms:W3CDTF">2013-12-23T23:15:00Z</dcterms:created>
  <dcterms:modified xsi:type="dcterms:W3CDTF">2013-12-23T23:15:00Z</dcterms:modified>
  <cp:category/>
</cp:coreProperties>
</file>