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KANZLEIPROTOKOLL</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8. Juli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PMH/26-184 AM / pa</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Jette Nissen</w:t>
            </w:r>
          </w:p>
        </w:tc>
      </w:tr>
    </w:tbl>
    <w:p/>
    <w:p>
      <w:pPr>
        <w:pStyle w:val="Title"/>
      </w:pPr>
      <w:r>
        <w:rPr>
          <w:rFonts w:ascii="Arial" w:hAnsi="Arial" w:eastAsia="Arial"/>
          <w:b/>
          <w:color w:val="173941"/>
          <w:sz w:val="34"/>
        </w:rPr>
        <w:t>Versandnachweise und Wiedervorlagen</w:t>
      </w:r>
    </w:p>
    <w:p>
      <w:pPr>
        <w:pStyle w:val="Heading1"/>
      </w:pPr>
      <w:r>
        <w:t>1. Versand</w:t>
      </w:r>
    </w:p>
    <w:tbl>
      <w:tblPr>
        <w:tblStyle w:val="TableGrid"/>
        <w:tblW w:type="auto" w:w="0"/>
        <w:jc w:val="center"/>
        <w:tblLayout w:type="fixed"/>
        <w:tblLook w:firstColumn="1" w:firstRow="1" w:lastColumn="0" w:lastRow="0" w:noHBand="0" w:noVBand="1" w:val="04A0"/>
      </w:tblPr>
      <w:tblGrid>
        <w:gridCol w:w="1888"/>
        <w:gridCol w:w="1888"/>
        <w:gridCol w:w="1888"/>
        <w:gridCol w:w="1888"/>
        <w:gridCol w:w="1888"/>
      </w:tblGrid>
      <w:tr>
        <w:trPr>
          <w:tblHeader w:val="true"/>
        </w:trPr>
        <w:tc>
          <w:tcPr>
            <w:tcW w:type="dxa" w:w="2041"/>
            <w:shd w:fill="E7EFF1"/>
            <w:vAlign w:val="center"/>
          </w:tcPr>
          <w:p>
            <w:r>
              <w:rPr>
                <w:rFonts w:ascii="Arial" w:hAnsi="Arial" w:eastAsia="Arial"/>
                <w:b/>
                <w:color w:val="173941"/>
                <w:sz w:val="17"/>
              </w:rPr>
              <w:t>Datum und Uhrzeit</w:t>
            </w:r>
          </w:p>
        </w:tc>
        <w:tc>
          <w:tcPr>
            <w:tcW w:type="dxa" w:w="1984"/>
            <w:shd w:fill="E7EFF1"/>
            <w:vAlign w:val="center"/>
          </w:tcPr>
          <w:p>
            <w:r>
              <w:rPr>
                <w:rFonts w:ascii="Arial" w:hAnsi="Arial" w:eastAsia="Arial"/>
                <w:b/>
                <w:color w:val="173941"/>
                <w:sz w:val="17"/>
              </w:rPr>
              <w:t>Empfänger</w:t>
            </w:r>
          </w:p>
        </w:tc>
        <w:tc>
          <w:tcPr>
            <w:tcW w:type="dxa" w:w="3118"/>
            <w:shd w:fill="E7EFF1"/>
            <w:vAlign w:val="center"/>
          </w:tcPr>
          <w:p>
            <w:r>
              <w:rPr>
                <w:rFonts w:ascii="Arial" w:hAnsi="Arial" w:eastAsia="Arial"/>
                <w:b/>
                <w:color w:val="173941"/>
                <w:sz w:val="17"/>
              </w:rPr>
              <w:t>Dokument</w:t>
            </w:r>
          </w:p>
        </w:tc>
        <w:tc>
          <w:tcPr>
            <w:tcW w:type="dxa" w:w="2154"/>
            <w:shd w:fill="E7EFF1"/>
            <w:vAlign w:val="center"/>
          </w:tcPr>
          <w:p>
            <w:r>
              <w:rPr>
                <w:rFonts w:ascii="Arial" w:hAnsi="Arial" w:eastAsia="Arial"/>
                <w:b/>
                <w:color w:val="173941"/>
                <w:sz w:val="17"/>
              </w:rPr>
              <w:t>Kanal</w:t>
            </w:r>
          </w:p>
        </w:tc>
        <w:tc>
          <w:tcPr>
            <w:tcW w:type="dxa" w:w="2381"/>
            <w:shd w:fill="E7EFF1"/>
            <w:vAlign w:val="center"/>
          </w:tcPr>
          <w:p>
            <w:r>
              <w:rPr>
                <w:rFonts w:ascii="Arial" w:hAnsi="Arial" w:eastAsia="Arial"/>
                <w:b/>
                <w:color w:val="173941"/>
                <w:sz w:val="17"/>
              </w:rPr>
              <w:t>Nachweis</w:t>
            </w:r>
          </w:p>
        </w:tc>
      </w:tr>
      <w:tr>
        <w:tc>
          <w:tcPr>
            <w:tcW w:type="dxa" w:w="2041"/>
            <w:vAlign w:val="top"/>
          </w:tcPr>
          <w:p>
            <w:r>
              <w:rPr>
                <w:rFonts w:ascii="Arial" w:hAnsi="Arial" w:eastAsia="Arial"/>
                <w:b w:val="0"/>
                <w:sz w:val="16"/>
              </w:rPr>
              <w:t>30.06.2026, 14:22</w:t>
            </w:r>
          </w:p>
        </w:tc>
        <w:tc>
          <w:tcPr>
            <w:tcW w:type="dxa" w:w="1984"/>
            <w:vAlign w:val="top"/>
          </w:tcPr>
          <w:p>
            <w:r>
              <w:rPr>
                <w:rFonts w:ascii="Arial" w:hAnsi="Arial" w:eastAsia="Arial"/>
                <w:b w:val="0"/>
                <w:sz w:val="16"/>
              </w:rPr>
              <w:t>Kanzlei Thomsen</w:t>
            </w:r>
          </w:p>
        </w:tc>
        <w:tc>
          <w:tcPr>
            <w:tcW w:type="dxa" w:w="3118"/>
            <w:vAlign w:val="top"/>
          </w:tcPr>
          <w:p>
            <w:r>
              <w:rPr>
                <w:rFonts w:ascii="Arial" w:hAnsi="Arial" w:eastAsia="Arial"/>
                <w:b w:val="0"/>
                <w:sz w:val="16"/>
              </w:rPr>
              <w:t>Mandatsanzeige und Auskunft</w:t>
            </w:r>
          </w:p>
        </w:tc>
        <w:tc>
          <w:tcPr>
            <w:tcW w:type="dxa" w:w="2154"/>
            <w:vAlign w:val="top"/>
          </w:tcPr>
          <w:p>
            <w:r>
              <w:rPr>
                <w:rFonts w:ascii="Arial" w:hAnsi="Arial" w:eastAsia="Arial"/>
                <w:b w:val="0"/>
                <w:sz w:val="16"/>
              </w:rPr>
              <w:t>beA</w:t>
            </w:r>
          </w:p>
        </w:tc>
        <w:tc>
          <w:tcPr>
            <w:tcW w:type="dxa" w:w="2381"/>
            <w:vAlign w:val="top"/>
          </w:tcPr>
          <w:p>
            <w:r>
              <w:rPr>
                <w:rFonts w:ascii="Arial" w:hAnsi="Arial" w:eastAsia="Arial"/>
                <w:b w:val="0"/>
                <w:sz w:val="16"/>
              </w:rPr>
              <w:t>Eingang 14:25</w:t>
            </w:r>
          </w:p>
        </w:tc>
      </w:tr>
      <w:tr>
        <w:tc>
          <w:tcPr>
            <w:tcW w:type="dxa" w:w="2041"/>
            <w:vAlign w:val="top"/>
          </w:tcPr>
          <w:p>
            <w:r>
              <w:rPr>
                <w:rFonts w:ascii="Arial" w:hAnsi="Arial" w:eastAsia="Arial"/>
                <w:b w:val="0"/>
                <w:sz w:val="16"/>
              </w:rPr>
              <w:t>01.07.2026, 09:31</w:t>
            </w:r>
          </w:p>
        </w:tc>
        <w:tc>
          <w:tcPr>
            <w:tcW w:type="dxa" w:w="1984"/>
            <w:vAlign w:val="top"/>
          </w:tcPr>
          <w:p>
            <w:r>
              <w:rPr>
                <w:rFonts w:ascii="Arial" w:hAnsi="Arial" w:eastAsia="Arial"/>
                <w:b w:val="0"/>
                <w:sz w:val="16"/>
              </w:rPr>
              <w:t>Notarin Behrends</w:t>
            </w:r>
          </w:p>
        </w:tc>
        <w:tc>
          <w:tcPr>
            <w:tcW w:type="dxa" w:w="3118"/>
            <w:vAlign w:val="top"/>
          </w:tcPr>
          <w:p>
            <w:r>
              <w:rPr>
                <w:rFonts w:ascii="Arial" w:hAnsi="Arial" w:eastAsia="Arial"/>
                <w:b w:val="0"/>
                <w:sz w:val="16"/>
              </w:rPr>
              <w:t>Urkundenanforderung</w:t>
            </w:r>
          </w:p>
        </w:tc>
        <w:tc>
          <w:tcPr>
            <w:tcW w:type="dxa" w:w="2154"/>
            <w:vAlign w:val="top"/>
          </w:tcPr>
          <w:p>
            <w:r>
              <w:rPr>
                <w:rFonts w:ascii="Arial" w:hAnsi="Arial" w:eastAsia="Arial"/>
                <w:b w:val="0"/>
                <w:sz w:val="16"/>
              </w:rPr>
              <w:t>beA</w:t>
            </w:r>
          </w:p>
        </w:tc>
        <w:tc>
          <w:tcPr>
            <w:tcW w:type="dxa" w:w="2381"/>
            <w:vAlign w:val="top"/>
          </w:tcPr>
          <w:p>
            <w:r>
              <w:rPr>
                <w:rFonts w:ascii="Arial" w:hAnsi="Arial" w:eastAsia="Arial"/>
                <w:b w:val="0"/>
                <w:sz w:val="16"/>
              </w:rPr>
              <w:t>UR 118/2018</w:t>
            </w:r>
          </w:p>
        </w:tc>
      </w:tr>
      <w:tr>
        <w:tc>
          <w:tcPr>
            <w:tcW w:type="dxa" w:w="2041"/>
            <w:vAlign w:val="top"/>
          </w:tcPr>
          <w:p>
            <w:r>
              <w:rPr>
                <w:rFonts w:ascii="Arial" w:hAnsi="Arial" w:eastAsia="Arial"/>
                <w:b w:val="0"/>
                <w:sz w:val="16"/>
              </w:rPr>
              <w:t>03.07.2026, 11:14</w:t>
            </w:r>
          </w:p>
        </w:tc>
        <w:tc>
          <w:tcPr>
            <w:tcW w:type="dxa" w:w="1984"/>
            <w:vAlign w:val="top"/>
          </w:tcPr>
          <w:p>
            <w:r>
              <w:rPr>
                <w:rFonts w:ascii="Arial" w:hAnsi="Arial" w:eastAsia="Arial"/>
                <w:b w:val="0"/>
                <w:sz w:val="16"/>
              </w:rPr>
              <w:t>Inselbank</w:t>
            </w:r>
          </w:p>
        </w:tc>
        <w:tc>
          <w:tcPr>
            <w:tcW w:type="dxa" w:w="3118"/>
            <w:vAlign w:val="top"/>
          </w:tcPr>
          <w:p>
            <w:r>
              <w:rPr>
                <w:rFonts w:ascii="Arial" w:hAnsi="Arial" w:eastAsia="Arial"/>
                <w:b w:val="0"/>
                <w:sz w:val="16"/>
              </w:rPr>
              <w:t>Freigaben und Fragen</w:t>
            </w:r>
          </w:p>
        </w:tc>
        <w:tc>
          <w:tcPr>
            <w:tcW w:type="dxa" w:w="2154"/>
            <w:vAlign w:val="top"/>
          </w:tcPr>
          <w:p>
            <w:r>
              <w:rPr>
                <w:rFonts w:ascii="Arial" w:hAnsi="Arial" w:eastAsia="Arial"/>
                <w:b w:val="0"/>
                <w:sz w:val="16"/>
              </w:rPr>
              <w:t>verschlüsselte E-Mail</w:t>
            </w:r>
          </w:p>
        </w:tc>
        <w:tc>
          <w:tcPr>
            <w:tcW w:type="dxa" w:w="2381"/>
            <w:vAlign w:val="top"/>
          </w:tcPr>
          <w:p>
            <w:r>
              <w:rPr>
                <w:rFonts w:ascii="Arial" w:hAnsi="Arial" w:eastAsia="Arial"/>
                <w:b w:val="0"/>
                <w:sz w:val="16"/>
              </w:rPr>
              <w:t>Empfang 11:18</w:t>
            </w:r>
          </w:p>
        </w:tc>
      </w:tr>
      <w:tr>
        <w:tc>
          <w:tcPr>
            <w:tcW w:type="dxa" w:w="2041"/>
            <w:vAlign w:val="top"/>
          </w:tcPr>
          <w:p>
            <w:r>
              <w:rPr>
                <w:rFonts w:ascii="Arial" w:hAnsi="Arial" w:eastAsia="Arial"/>
                <w:b w:val="0"/>
                <w:sz w:val="16"/>
              </w:rPr>
              <w:t>08.07.2026, 16:03</w:t>
            </w:r>
          </w:p>
        </w:tc>
        <w:tc>
          <w:tcPr>
            <w:tcW w:type="dxa" w:w="1984"/>
            <w:vAlign w:val="top"/>
          </w:tcPr>
          <w:p>
            <w:r>
              <w:rPr>
                <w:rFonts w:ascii="Arial" w:hAnsi="Arial" w:eastAsia="Arial"/>
                <w:b w:val="0"/>
                <w:sz w:val="16"/>
              </w:rPr>
              <w:t>Anja Martensen</w:t>
            </w:r>
          </w:p>
        </w:tc>
        <w:tc>
          <w:tcPr>
            <w:tcW w:type="dxa" w:w="3118"/>
            <w:vAlign w:val="top"/>
          </w:tcPr>
          <w:p>
            <w:r>
              <w:rPr>
                <w:rFonts w:ascii="Arial" w:hAnsi="Arial" w:eastAsia="Arial"/>
                <w:b w:val="0"/>
                <w:sz w:val="16"/>
              </w:rPr>
              <w:t>Entwurf und Kostenhinweis</w:t>
            </w:r>
          </w:p>
        </w:tc>
        <w:tc>
          <w:tcPr>
            <w:tcW w:type="dxa" w:w="2154"/>
            <w:vAlign w:val="top"/>
          </w:tcPr>
          <w:p>
            <w:r>
              <w:rPr>
                <w:rFonts w:ascii="Arial" w:hAnsi="Arial" w:eastAsia="Arial"/>
                <w:b w:val="0"/>
                <w:sz w:val="16"/>
              </w:rPr>
              <w:t>Mandantenportal</w:t>
            </w:r>
          </w:p>
        </w:tc>
        <w:tc>
          <w:tcPr>
            <w:tcW w:type="dxa" w:w="2381"/>
            <w:vAlign w:val="top"/>
          </w:tcPr>
          <w:p>
            <w:r>
              <w:rPr>
                <w:rFonts w:ascii="Arial" w:hAnsi="Arial" w:eastAsia="Arial"/>
                <w:b w:val="0"/>
                <w:sz w:val="16"/>
              </w:rPr>
              <w:t>Abruf 16:39</w:t>
            </w:r>
          </w:p>
        </w:tc>
      </w:tr>
    </w:tbl>
    <w:p/>
    <w:p>
      <w:pPr>
        <w:pStyle w:val="Heading1"/>
      </w:pPr>
      <w:r>
        <w:t>2. Fristenkontrolle</w:t>
      </w:r>
    </w:p>
    <w:p>
      <w:pPr>
        <w:jc w:val="both"/>
      </w:pPr>
      <w:r>
        <w:rPr>
          <w:rFonts w:ascii="Arial" w:hAnsi="Arial" w:eastAsia="Arial"/>
          <w:b w:val="0"/>
          <w:sz w:val="21"/>
        </w:rPr>
        <w:t>Die Auskunftsfrist ist auf den 31. Juli 2026, die Vorfrist auf den 24. Juli notiert. Das Angebot des Sachverständigen wird am 20. Juli wiedervorgelegt. Für jeden möglichen Anspruchsgegner besteht ein eigenes Verjährungsblatt; die außergerichtliche Korrespondenz ist dort nur als Vorgang, nicht als sichere Hemmung vermerkt.</w:t>
      </w:r>
    </w:p>
    <w:p>
      <w:pPr>
        <w:spacing w:before="280"/>
      </w:pPr>
      <w:r>
        <w:rPr>
          <w:rFonts w:ascii="Arial" w:hAnsi="Arial" w:eastAsia="Arial"/>
          <w:b/>
          <w:sz w:val="21"/>
        </w:rPr>
        <w:t>Jette Nissen</w:t>
      </w:r>
    </w:p>
    <w:p>
      <w:pPr>
        <w:spacing w:after="0"/>
      </w:pPr>
      <w:r>
        <w:rPr>
          <w:rFonts w:ascii="Arial" w:hAnsi="Arial" w:eastAsia="Arial"/>
          <w:b w:val="0"/>
          <w:color w:val="5C6569"/>
          <w:sz w:val="18"/>
        </w:rPr>
        <w:t>Rechtsanwaltsfachangestellte · Fristenkontrolle</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Postausgang PMH/26-184 AM · Juli 2026</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Petersen Mohn Rechtsanwälte</w:t>
    </w:r>
  </w:p>
  <w:p>
    <w:pPr>
      <w:spacing w:after="0"/>
    </w:pPr>
    <w:r>
      <w:rPr>
        <w:rFonts w:ascii="Arial" w:hAnsi="Arial" w:eastAsia="Arial"/>
        <w:b w:val="0"/>
        <w:color w:val="5C6569"/>
        <w:sz w:val="14"/>
      </w:rPr>
      <w:t>Mühlenweg 8 · 25980 Sylt/Westerland</w:t>
    </w:r>
  </w:p>
  <w:p>
    <w:pPr>
      <w:spacing w:after="0"/>
    </w:pPr>
    <w:r>
      <w:rPr>
        <w:rFonts w:ascii="Arial" w:hAnsi="Arial" w:eastAsia="Arial"/>
        <w:b w:val="0"/>
        <w:color w:val="5C6569"/>
        <w:sz w:val="14"/>
      </w:rPr>
      <w:t>Telefon 04651 88921-0 · Telefax 04651 88921-19 · post@petersen-mohn.example</w:t>
    </w:r>
  </w:p>
  <w:p>
    <w:pPr>
      <w:spacing w:after="0"/>
    </w:pPr>
    <w:r>
      <w:rPr>
        <w:rFonts w:ascii="Arial" w:hAnsi="Arial" w:eastAsia="Arial"/>
        <w:b w:val="0"/>
        <w:color w:val="5C6569"/>
        <w:sz w:val="14"/>
      </w:rPr>
      <w:t>Rechtsanwältin Silke Petersen · Fachanwältin für Erbrecht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Versandnachweise und Wiedervorlagen</dc:title>
  <dc:subject>PMH/26-184 AM / pa</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