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Kostenrechnung – Arbeitsentwurf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4872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Mandantin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Anja Martensen</w:t>
            </w:r>
          </w:p>
        </w:tc>
      </w:tr>
      <w:tr>
        <w:tc>
          <w:tcPr>
            <w:tcW w:type="dxa" w:w="4872"/>
            <w:shd w:fill="EAF1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17324D"/>
                <w:sz w:val="17"/>
              </w:rPr>
              <w:t>Mandat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Nachlass Helga Martensen</w:t>
            </w:r>
          </w:p>
        </w:tc>
      </w:tr>
      <w:tr>
        <w:tc>
          <w:tcPr>
            <w:tcW w:type="dxa" w:w="4872"/>
            <w:shd w:fill="F2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17324D"/>
                <w:sz w:val="17"/>
              </w:rPr>
              <w:t>Stand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10.07.2026</w:t>
            </w:r>
          </w:p>
        </w:tc>
      </w:tr>
      <w:tr>
        <w:tc>
          <w:tcPr>
            <w:tcW w:type="dxa" w:w="4872"/>
            <w:shd w:fill="EAF1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17324D"/>
                <w:sz w:val="17"/>
              </w:rPr>
              <w:t>Status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Noch nicht versandt</w:t>
            </w:r>
          </w:p>
        </w:tc>
      </w:tr>
    </w:tbl>
    <w:p/>
    <w:p>
      <w:pPr>
        <w:pStyle w:val="Heading1"/>
      </w:pPr>
      <w:r>
        <w:t>1. Gegenstand und Wertband</w:t>
      </w:r>
    </w:p>
    <w:p>
      <w:pPr>
        <w:keepLines w:val="0"/>
      </w:pPr>
      <w:r>
        <w:t>Auskunft, Wertermittlung und mögliche Zahlungsansprüche werden im Entwurf getrennt erfasst. Grundstück, Depot, aktiver Nachlass und Gegenleistungen stehen in erheblichen Wertbandbreiten. Ein endgültiger Gegenstandswert wird nicht vor Abschluss der Belegerhebung angesetzt.</w:t>
      </w:r>
    </w:p>
    <w:p>
      <w:pPr>
        <w:pStyle w:val="Heading1"/>
      </w:pPr>
      <w:r>
        <w:t>2. Vorschuss und Auslagen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Position</w:t>
            </w:r>
          </w:p>
        </w:tc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Betrag</w:t>
            </w:r>
          </w:p>
        </w:tc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Vorschuss</w:t>
            </w:r>
          </w:p>
        </w:tc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2500,00 EUR</w:t>
            </w:r>
          </w:p>
        </w:tc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Eingang 01.07.2026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Grundbuchabruf</w:t>
            </w:r>
          </w:p>
        </w:tc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10,00 EUR</w:t>
            </w:r>
          </w:p>
        </w:tc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verauslagt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Bankarchiv</w:t>
            </w:r>
          </w:p>
        </w:tc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96,00 EUR</w:t>
            </w:r>
          </w:p>
        </w:tc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angekündigt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Sachverständiger Stufe 1</w:t>
            </w:r>
          </w:p>
        </w:tc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6800,00 EUR netto</w:t>
            </w:r>
          </w:p>
        </w:tc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nicht beauftragt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Notarielles Nachlassverzeichnis</w:t>
            </w:r>
          </w:p>
        </w:tc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Kosten offen</w:t>
            </w:r>
          </w:p>
        </w:tc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Angebot angefordert</w:t>
            </w:r>
          </w:p>
        </w:tc>
      </w:tr>
    </w:tbl>
    <w:p>
      <w:pPr>
        <w:pStyle w:val="Heading1"/>
      </w:pPr>
      <w:r>
        <w:t>3. Freigabepunkte</w:t>
      </w:r>
    </w:p>
    <w:p>
      <w:pPr>
        <w:keepLines w:val="0"/>
      </w:pPr>
      <w:r>
        <w:t>Vor einer Rechnung sind Anrechnung der Beratung, Mehrere-Gegenstände-Prüfung, Auslagenbelege und Umsatzsteuer zu kontrollieren. Fremdkosten werden nur nach schriftlicher Mandantenfreigabe ausgelöst. Bearbeitet Britta Lorenzen; anwaltliche Freigabe offen.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219" w:bottom="1162" w:left="1276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60"/>
      <w:jc w:val="center"/>
    </w:pPr>
    <w:r>
      <w:rPr>
        <w:rFonts w:ascii="Arial" w:hAnsi="Arial"/>
        <w:color w:val="6B7378"/>
        <w:sz w:val="12"/>
      </w:rPr>
      <w:t>Lea Petersen, Rechtsanwältin und Fachanwältin für Erbrecht | Anderkonto DE62 2175 0000 0091 4410 08 | BIC NOLADE21NOS | St.-Nr. 17/209/04681 | Berufshaftpflicht: NordAssekuranz AG, Kiel</w:t>
    </w:r>
  </w:p>
  <w:p>
    <w:pPr>
      <w:spacing w:after="0"/>
      <w:jc w:val="center"/>
    </w:pPr>
    <w:r>
      <w:rPr>
        <w:color w:val="6B7378"/>
        <w:sz w:val="14"/>
      </w:rPr>
      <w:t xml:space="preserve">Seite </w:t>
    </w:r>
    <w:r>
      <w:rPr>
        <w:color w:val="6B7378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10" w:space="4" w:color="2F6684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6066"/>
      <w:gridCol w:w="3345"/>
    </w:tblGrid>
    <w:tr>
      <w:tc>
        <w:tcPr>
          <w:tcW w:type="dxa" w:w="4706"/>
        </w:tcPr>
        <w:p>
          <w:pPr>
            <w:spacing w:after="20"/>
          </w:pPr>
          <w:r>
            <w:rPr>
              <w:rFonts w:ascii="Arial" w:hAnsi="Arial"/>
              <w:b/>
              <w:color w:val="17324D"/>
              <w:sz w:val="21"/>
            </w:rPr>
            <w:t>Petersen &amp; Hagedorn Rechtsanwälte</w:t>
          </w:r>
        </w:p>
        <w:p>
          <w:pPr>
            <w:spacing w:after="0"/>
          </w:pPr>
          <w:r>
            <w:rPr>
              <w:color w:val="6B7378"/>
              <w:sz w:val="15"/>
            </w:rPr>
            <w:t>Erbrecht und Vermögensnachfolge | Friedrichstraße 21 | 25980 Sylt</w:t>
          </w:r>
        </w:p>
      </w:tc>
      <w:tc>
        <w:tcPr>
          <w:tcW w:type="dxa" w:w="4706"/>
        </w:tcPr>
        <w:p>
          <w:pPr>
            <w:spacing w:after="20"/>
            <w:jc w:val="right"/>
          </w:pPr>
          <w:r>
            <w:rPr>
              <w:b/>
              <w:color w:val="17324D"/>
              <w:sz w:val="18"/>
            </w:rPr>
            <w:t>Nachlass Martensen</w:t>
          </w:r>
        </w:p>
        <w:p>
          <w:pPr>
            <w:spacing w:after="0"/>
            <w:jc w:val="right"/>
          </w:pPr>
          <w:r>
            <w:rPr>
              <w:color w:val="6B7378"/>
              <w:sz w:val="15"/>
            </w:rPr>
            <w:t>Aktenzeichen PMH/26-184 AM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668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Petersen &amp; Hagedorn Rechtsanwälte</dc:creator>
  <cp:keywords/>
  <dc:description>generated by python-docx</dc:description>
  <cp:lastModifiedBy>Petersen &amp; Hagedorn Rechtsanwälte</cp:lastModifiedBy>
  <cp:revision>1</cp:revision>
  <dcterms:created xsi:type="dcterms:W3CDTF">2026-07-15T12:00:00Z</dcterms:created>
  <dcterms:modified xsi:type="dcterms:W3CDTF">2026-07-15T12:00:00Z</dcterms:modified>
  <cp:category/>
</cp:coreProperties>
</file>