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Telefonnotiz – Mainfranken Bank</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Gespräch</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30.06.2026, 11:47 bis 12:19 Uhr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Teilnehmer</w:t>
            </w:r>
          </w:p>
        </w:tc>
        <w:tc>
          <w:tcPr>
            <w:tcW w:type="dxa" w:w="4872"/>
            <w:vAlign w:val="center"/>
            <w:tcMar>
              <w:top w:w="90" w:type="dxa"/>
              <w:start w:w="100" w:type="dxa"/>
              <w:bottom w:w="90" w:type="dxa"/>
              <w:end w:w="100" w:type="dxa"/>
            </w:tcMar>
          </w:tcPr>
          <w:p>
            <w:pPr>
              <w:spacing w:after="30"/>
            </w:pPr>
            <w:r>
              <w:rPr>
                <w:rFonts w:ascii="Arial" w:hAnsi="Arial"/>
                <w:sz w:val="17"/>
              </w:rPr>
              <w:t>Claudia Rehm, Dr. Felix Steinbrück</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Hinzugezogen</w:t>
            </w:r>
          </w:p>
        </w:tc>
        <w:tc>
          <w:tcPr>
            <w:tcW w:type="dxa" w:w="4872"/>
            <w:vAlign w:val="center"/>
            <w:tcMar>
              <w:top w:w="90" w:type="dxa"/>
              <w:start w:w="100" w:type="dxa"/>
              <w:bottom w:w="90" w:type="dxa"/>
              <w:end w:w="100" w:type="dxa"/>
            </w:tcMar>
            <w:shd w:fill="F2F4F5"/>
          </w:tcPr>
          <w:p>
            <w:pPr>
              <w:spacing w:after="30"/>
            </w:pPr>
            <w:r>
              <w:rPr>
                <w:rFonts w:ascii="Arial" w:hAnsi="Arial"/>
                <w:sz w:val="17"/>
              </w:rPr>
              <w:t>Mara Baumann ab 12:02 Uhr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Aktenzeichen</w:t>
            </w:r>
          </w:p>
        </w:tc>
        <w:tc>
          <w:tcPr>
            <w:tcW w:type="dxa" w:w="4872"/>
            <w:vAlign w:val="center"/>
            <w:tcMar>
              <w:top w:w="90" w:type="dxa"/>
              <w:start w:w="100" w:type="dxa"/>
              <w:bottom w:w="90" w:type="dxa"/>
              <w:end w:w="100" w:type="dxa"/>
            </w:tcMar>
          </w:tcPr>
          <w:p>
            <w:pPr>
              <w:spacing w:after="30"/>
            </w:pPr>
            <w:r>
              <w:rPr>
                <w:rFonts w:ascii="Arial" w:hAnsi="Arial"/>
                <w:sz w:val="17"/>
              </w:rPr>
              <w:t>SP/26-309 MB</w:t>
            </w:r>
          </w:p>
        </w:tc>
      </w:tr>
    </w:tbl>
    <w:p/>
    <w:p>
      <w:pPr>
        <w:pStyle w:val="Heading1"/>
      </w:pPr>
      <w:r>
        <w:t>1. Bankstand</w:t>
      </w:r>
    </w:p>
    <w:p>
      <w:pPr>
        <w:keepLines w:val="0"/>
      </w:pPr>
      <w:r>
        <w:t>Frau Rehm bestätigte den Eingang des Wochenreports vom 29.06.2026. Die Liquiditätsreserve betrage danach 1720000,00 EUR. Die Bank sehe den ersten Investitionsabruf als ordnungsgemäß dokumentiert. Für eine Fortführung der Betriebsmittellinie nach dem 31.07.2026 fehlten noch die endgültige Gesellschafterliste und eine abgestimmte Bandbreite möglicher Pflichtteilsabflüsse.</w:t>
      </w:r>
    </w:p>
    <w:p>
      <w:pPr>
        <w:pStyle w:val="Heading1"/>
      </w:pPr>
      <w:r>
        <w:t>2. Unterlagen</w:t>
      </w:r>
    </w:p>
    <w:p>
      <w:pPr>
        <w:keepLines w:val="0"/>
      </w:pPr>
      <w:r>
        <w:t>Bis 10.07.2026 werden Monatsabschluss Mai, Auftragseingang, Materialbestellungen über 250000,00 EUR und eine Darstellung des Verrechnungskontos erwartet. Die Bank verlangt keine vertraulichen Gutachtenentwürfe, sondern Annahmen und Liquiditätswirkung in Szenarien.</w:t>
      </w:r>
    </w:p>
    <w:p>
      <w:pPr>
        <w:pStyle w:val="Heading1"/>
      </w:pPr>
      <w:r>
        <w:t>3. Zeichnung</w:t>
      </w:r>
    </w:p>
    <w:p>
      <w:pPr>
        <w:keepLines w:val="0"/>
      </w:pPr>
      <w:r>
        <w:t>Frau Rehm akzeptiert operative Zahlen mit Zeichnung der Geschäftsführung. Erklärungen zur Verwaltung des Nachlassanteils sollen zusätzlich von Dr. Lehnert unterzeichnet werden, ohne dass die Bank damit seine umfassende Befugnis anerkennt. Mara bat um eine schriftliche Liste dieser Unterschriftsfelder.</w:t>
      </w:r>
    </w:p>
    <w:p>
      <w:pPr>
        <w:pStyle w:val="Heading1"/>
      </w:pPr>
      <w:r>
        <w:t>4. Verfügung</w:t>
      </w:r>
    </w:p>
    <w:p>
      <w:pPr>
        <w:keepLines w:val="0"/>
      </w:pPr>
      <w:r>
        <w:t>Gesprächsnotiz an Mara und Lars König; keine Weitergabe an Tilo ohne Freigabe. Bank soll schriftliche Unterlagenliste übersenden. Wiedervorlage 02.07.2026, 09:00 Uhr.</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Felix Steinbrück, Rechtsanwalt und Fachanwalt für Erbrecht | Anderkonto DE41 7905 0000 0038 7720 11 | BIC BYLADEM1SWU | St.-Nr. 257/184/09122 | Berufshaftpflicht: Süddeutsche JurAssekuranz AG, München</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Steinbrück Partnerschaft</w:t>
          </w:r>
        </w:p>
        <w:p>
          <w:pPr>
            <w:spacing w:after="0"/>
          </w:pPr>
          <w:r>
            <w:rPr>
              <w:color w:val="6B7378"/>
              <w:sz w:val="15"/>
            </w:rPr>
            <w:t>Erbrecht und Gesellschaftsrecht | Theaterstraße 9 | 97070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