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Fristenkalender, Banktermine und Postausgang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4872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Stand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02.07.2026, 17:20 Uhr</w:t>
            </w:r>
          </w:p>
        </w:tc>
      </w:tr>
      <w:tr>
        <w:tc>
          <w:tcPr>
            <w:tcW w:type="dxa" w:w="4872"/>
            <w:shd w:fill="EAF1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Kalenderführung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Rechtsanwaltsfachangestellte Lena Brück</w:t>
            </w:r>
          </w:p>
        </w:tc>
      </w:tr>
      <w:tr>
        <w:tc>
          <w:tcPr>
            <w:tcW w:type="dxa" w:w="4872"/>
            <w:shd w:fill="F2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Kontrolle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Dr. Felix Steinbrück</w:t>
            </w:r>
          </w:p>
        </w:tc>
      </w:tr>
    </w:tbl>
    <w:p/>
    <w:p>
      <w:pPr>
        <w:pStyle w:val="Heading1"/>
      </w:pPr>
      <w:r>
        <w:t>1. Fristen und Termine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Vorgang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Vorfrist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Verantwortlich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06.07.2026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Unterlagen Bank MF-44719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03.07.2026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Mara / Lars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teilweise hochgeladen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10.07.2026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Ergänzungen Monatsabschluss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07.07.2026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Controlling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offen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15.07.2026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Gutachterangebote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10.07.2026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Dr. Lehnert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zwei von drei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24.07.2026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Stellungnahme Tilo Auskunft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17.07.2026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Kanzlei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Entwurf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31.07.2026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Betriebsmittellinie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24.07.2026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Bank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Entscheidung offen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31.07.2026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Verwaltungsbericht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24.07.2026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Dr. Lehnert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angekündigt</w:t>
            </w:r>
          </w:p>
        </w:tc>
      </w:tr>
    </w:tbl>
    <w:p>
      <w:pPr>
        <w:pStyle w:val="Heading1"/>
      </w:pPr>
      <w:r>
        <w:t>2. Postausgang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Zeit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Empfänger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Dokument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Kanal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Nachweis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20.05.2026, 15:32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Dr. Lehnert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Befugnis- und Berichtsschreiben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beA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Eingang 15:35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12.06.2026, 11:05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Mainfranken Bank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Freigabepaket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Datenraum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Version 1.4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18.06.2026, 09:44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Fricke &amp; Albus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Zwischenantwort Auskunft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beA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Eingang bestätigt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30.06.2026, 16:15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Mara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Banknotiz und Aufgaben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Mandantenportal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Abruf 16:28</w:t>
            </w:r>
          </w:p>
        </w:tc>
      </w:tr>
    </w:tbl>
    <w:p>
      <w:pPr>
        <w:pStyle w:val="Heading1"/>
      </w:pPr>
      <w:r>
        <w:t>3. Aktenlogik</w:t>
      </w:r>
    </w:p>
    <w:p>
      <w:pPr>
        <w:keepLines w:val="0"/>
      </w:pPr>
      <w:r>
        <w:t>Bank-, Gesellschafts-, Vollstrecker- und Pflichtteilsvorgänge erhalten getrennte Unterordner. Dokumente werden nur mit Freigabestatus final in den Datenraum gestellt. Ein intern gerechnetes Pflichtteilsband ist nicht als Anerkenntnis zu bezeichnen.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19" w:bottom="1162" w:left="1276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/>
      <w:jc w:val="center"/>
    </w:pPr>
    <w:r>
      <w:rPr>
        <w:rFonts w:ascii="Arial" w:hAnsi="Arial"/>
        <w:color w:val="6B7378"/>
        <w:sz w:val="12"/>
      </w:rPr>
      <w:t>Dr. Felix Steinbrück, Rechtsanwalt und Fachanwalt für Erbrecht | Anderkonto DE41 7905 0000 0038 7720 11 | BIC BYLADEM1SWU | St.-Nr. 257/184/09122 | Berufshaftpflicht: Süddeutsche JurAssekuranz AG, München</w:t>
    </w:r>
  </w:p>
  <w:p>
    <w:pPr>
      <w:spacing w:after="0"/>
      <w:jc w:val="center"/>
    </w:pPr>
    <w:r>
      <w:rPr>
        <w:color w:val="6B7378"/>
        <w:sz w:val="14"/>
      </w:rPr>
      <w:t xml:space="preserve">Seite </w:t>
    </w:r>
    <w:r>
      <w:rPr>
        <w:color w:val="6B7378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space="4" w:color="2F6684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066"/>
      <w:gridCol w:w="3345"/>
    </w:tblGrid>
    <w:tr>
      <w:tc>
        <w:tcPr>
          <w:tcW w:type="dxa" w:w="4706"/>
        </w:tcPr>
        <w:p>
          <w:pPr>
            <w:spacing w:after="20"/>
          </w:pPr>
          <w:r>
            <w:rPr>
              <w:rFonts w:ascii="Arial" w:hAnsi="Arial"/>
              <w:b/>
              <w:color w:val="17324D"/>
              <w:sz w:val="21"/>
            </w:rPr>
            <w:t>Steinbrück Partnerschaft</w:t>
          </w:r>
        </w:p>
        <w:p>
          <w:pPr>
            <w:spacing w:after="0"/>
          </w:pPr>
          <w:r>
            <w:rPr>
              <w:color w:val="6B7378"/>
              <w:sz w:val="15"/>
            </w:rPr>
            <w:t>Erbrecht und Gesellschaftsrecht | Theaterstraße 9 | 97070 Würzburg</w:t>
          </w:r>
        </w:p>
      </w:tc>
      <w:tc>
        <w:tcPr>
          <w:tcW w:type="dxa" w:w="4706"/>
        </w:tcPr>
        <w:p>
          <w:pPr>
            <w:spacing w:after="20"/>
            <w:jc w:val="right"/>
          </w:pPr>
          <w:r>
            <w:rPr>
              <w:b/>
              <w:color w:val="17324D"/>
              <w:sz w:val="18"/>
            </w:rPr>
            <w:t>Nachlass Baumann</w:t>
          </w:r>
        </w:p>
        <w:p>
          <w:pPr>
            <w:spacing w:after="0"/>
            <w:jc w:val="right"/>
          </w:pPr>
          <w:r>
            <w:rPr>
              <w:color w:val="6B7378"/>
              <w:sz w:val="15"/>
            </w:rPr>
            <w:t>Aktenzeichen SP/26-309 MB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Steinbrück Partnerschaft</dc:creator>
  <cp:keywords/>
  <dc:description>generated by python-docx</dc:description>
  <cp:lastModifiedBy>Steinbrück Partnerschaft</cp:lastModifiedBy>
  <cp:revision>1</cp:revision>
  <dcterms:created xsi:type="dcterms:W3CDTF">2026-07-15T12:00:00Z</dcterms:created>
  <dcterms:modified xsi:type="dcterms:W3CDTF">2026-07-15T12:00:00Z</dcterms:modified>
  <cp:category/>
</cp:coreProperties>
</file>