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GESELLSCHAFTSVERTRAGLICHER AUSZUG</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15. März 2023</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HRB 504411 / GV-2023</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Ralf Sander · Jonas Mielke</w:t>
            </w:r>
          </w:p>
        </w:tc>
      </w:tr>
    </w:tbl>
    <w:p/>
    <w:p>
      <w:pPr>
        <w:pStyle w:val="Title"/>
      </w:pPr>
      <w:r>
        <w:rPr>
          <w:rFonts w:ascii="Arial" w:hAnsi="Arial" w:eastAsia="Arial"/>
          <w:b/>
          <w:color w:val="173941"/>
          <w:sz w:val="34"/>
        </w:rPr>
        <w:t>Geschäftsanteile, Vinkulierung und Erbfallregelung</w:t>
      </w:r>
    </w:p>
    <w:p>
      <w:pPr>
        <w:pStyle w:val="Heading1"/>
      </w:pPr>
      <w:r>
        <w:t>1. Beteiligung</w:t>
      </w:r>
    </w:p>
    <w:p>
      <w:pPr>
        <w:jc w:val="both"/>
      </w:pPr>
      <w:r>
        <w:rPr>
          <w:rFonts w:ascii="Arial" w:hAnsi="Arial" w:eastAsia="Arial"/>
          <w:b w:val="0"/>
          <w:sz w:val="21"/>
        </w:rPr>
        <w:t>Ralf Sander hält Geschäftsanteile im Nennbetrag von 215000,00 EUR und damit 86 Prozent. Jonas Mielke hält seit dem Anteilserwerb 2023 Geschäftsanteile im Nennbetrag von 35000,00 EUR und damit 14 Prozent.</w:t>
      </w:r>
    </w:p>
    <w:p>
      <w:pPr>
        <w:pStyle w:val="Heading1"/>
      </w:pPr>
      <w:r>
        <w:t>2. Übertragung</w:t>
      </w:r>
    </w:p>
    <w:p>
      <w:pPr>
        <w:jc w:val="both"/>
      </w:pPr>
      <w:r>
        <w:rPr>
          <w:rFonts w:ascii="Arial" w:hAnsi="Arial" w:eastAsia="Arial"/>
          <w:b w:val="0"/>
          <w:sz w:val="21"/>
        </w:rPr>
        <w:t>Jede Übertragung oder Belastung eines Geschäftsanteils bedarf der Zustimmung der Gesellschafterversammlung. Der betroffene Gesellschafter ist bei der Entscheidung über die Zustimmung nicht stimmberechtigt, soweit gesetzlich zulässig.</w:t>
      </w:r>
    </w:p>
    <w:p>
      <w:pPr>
        <w:pStyle w:val="Heading1"/>
      </w:pPr>
      <w:r>
        <w:t>3. Erbfall</w:t>
      </w:r>
    </w:p>
    <w:p>
      <w:pPr>
        <w:jc w:val="both"/>
      </w:pPr>
      <w:r>
        <w:rPr>
          <w:rFonts w:ascii="Arial" w:hAnsi="Arial" w:eastAsia="Arial"/>
          <w:b w:val="0"/>
          <w:sz w:val="21"/>
        </w:rPr>
        <w:t>Geht ein Geschäftsanteil auf einen Erben über, der nicht mindestens drei Jahre im Unternehmen tätig war, kann die Gesellschaft den Anteil nach Maßgabe der folgenden Bestimmungen einziehen oder seine Abtretung verlangen. Mehrere Erben haben einen gemeinsamen Vertreter zu bestellen. Bis zur Bestellung ruhen die Mitgliedschaftsrechte mit Ausnahme zwingender Rechte.</w:t>
      </w:r>
    </w:p>
    <w:p>
      <w:pPr>
        <w:pStyle w:val="Heading1"/>
      </w:pPr>
      <w:r>
        <w:t>4. Abfindung</w:t>
      </w:r>
    </w:p>
    <w:p>
      <w:pPr>
        <w:jc w:val="both"/>
      </w:pPr>
      <w:r>
        <w:rPr>
          <w:rFonts w:ascii="Arial" w:hAnsi="Arial" w:eastAsia="Arial"/>
          <w:b w:val="0"/>
          <w:sz w:val="21"/>
        </w:rPr>
        <w:t>Die Abfindung richtet sich nach dem anteiligen Unternehmenswert unter Berücksichtigung von Ertragslage, stillen Reserven, nicht betriebsnotwendigem Vermögen und Verbindlichkeiten. Buchwert und steuerlicher Wert sind nicht ohne Weiteres maßgeblich. Können sich die Beteiligten nicht einigen, bestimmt ein gemeinsam beauftragter Wirtschaftsprüfer den Wert.</w:t>
      </w:r>
    </w:p>
    <w:p>
      <w:pPr>
        <w:spacing w:before="280"/>
      </w:pPr>
      <w:r>
        <w:rPr>
          <w:rFonts w:ascii="Arial" w:hAnsi="Arial" w:eastAsia="Arial"/>
          <w:b/>
          <w:sz w:val="21"/>
        </w:rPr>
        <w:t>Ralf Sander · Jonas Mielke</w:t>
      </w:r>
    </w:p>
    <w:p>
      <w:pPr>
        <w:spacing w:after="0"/>
      </w:pPr>
      <w:r>
        <w:rPr>
          <w:rFonts w:ascii="Arial" w:hAnsi="Arial" w:eastAsia="Arial"/>
          <w:b w:val="0"/>
          <w:color w:val="5C6569"/>
          <w:sz w:val="18"/>
        </w:rPr>
        <w:t>Gesellschafter · Lesefassung</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Gesellschaftsvertrag · Lesefassung 15. März 2023</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Sander Präzisionsteile GmbH</w:t>
    </w:r>
  </w:p>
  <w:p>
    <w:pPr>
      <w:spacing w:after="0"/>
    </w:pPr>
    <w:r>
      <w:rPr>
        <w:rFonts w:ascii="Arial" w:hAnsi="Arial" w:eastAsia="Arial"/>
        <w:b w:val="0"/>
        <w:color w:val="5C6569"/>
        <w:sz w:val="14"/>
      </w:rPr>
      <w:t>Am Roten Berg 14 · 99086 Erfurt</w:t>
    </w:r>
  </w:p>
  <w:p>
    <w:pPr>
      <w:spacing w:after="0"/>
    </w:pPr>
    <w:r>
      <w:rPr>
        <w:rFonts w:ascii="Arial" w:hAnsi="Arial" w:eastAsia="Arial"/>
        <w:b w:val="0"/>
        <w:color w:val="5C6569"/>
        <w:sz w:val="14"/>
      </w:rPr>
      <w:t>Amtsgericht Jena HRB 504411 · Stammkapital 250000,00 EUR</w:t>
    </w:r>
  </w:p>
  <w:p>
    <w:pPr>
      <w:spacing w:after="0"/>
    </w:pPr>
    <w:r>
      <w:rPr>
        <w:rFonts w:ascii="Arial" w:hAnsi="Arial" w:eastAsia="Arial"/>
        <w:b w:val="0"/>
        <w:color w:val="5C6569"/>
        <w:sz w:val="14"/>
      </w:rPr>
      <w:t>Geschäftsführung Ralf Sander und Jonas Mielke-Sander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Geschäftsanteile, Vinkulierung und Erbfallregelung</dc:title>
  <dc:subject>HRB 504411 / GV-2023</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