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Erblasser</w:t>
            </w:r>
          </w:p>
        </w:tc>
        <w:tc>
          <w:tcPr>
            <w:tcW w:type="dxa" w:w="3402"/>
            <w:vAlign w:val="center"/>
          </w:tcPr>
          <w:p>
            <w:r>
              <w:rPr>
                <w:rFonts w:ascii="Arial" w:hAnsi="Arial"/>
                <w:sz w:val="17"/>
              </w:rPr>
              <w:t>Ralf Sander, verstorben am 4. Juni 2026</w:t>
            </w:r>
          </w:p>
        </w:tc>
      </w:tr>
      <w:tr>
        <w:tc>
          <w:tcPr>
            <w:tcW w:type="dxa" w:w="1984"/>
            <w:vAlign w:val="center"/>
          </w:tcPr>
          <w:p>
            <w:r>
              <w:rPr>
                <w:rFonts w:ascii="Arial" w:hAnsi="Arial"/>
                <w:b/>
                <w:sz w:val="17"/>
              </w:rPr>
              <w:t>Stand</w:t>
            </w:r>
          </w:p>
        </w:tc>
        <w:tc>
          <w:tcPr>
            <w:tcW w:type="dxa" w:w="3402"/>
            <w:vAlign w:val="center"/>
          </w:tcPr>
          <w:p>
            <w:r>
              <w:rPr>
                <w:rFonts w:ascii="Arial" w:hAnsi="Arial"/>
                <w:sz w:val="17"/>
              </w:rPr>
              <w:t>27. Juni 2026</w:t>
            </w:r>
          </w:p>
        </w:tc>
      </w:tr>
      <w:tr>
        <w:tc>
          <w:tcPr>
            <w:tcW w:type="dxa" w:w="1984"/>
            <w:vAlign w:val="center"/>
          </w:tcPr>
          <w:p>
            <w:r>
              <w:rPr>
                <w:rFonts w:ascii="Arial" w:hAnsi="Arial"/>
                <w:b/>
                <w:sz w:val="17"/>
              </w:rPr>
              <w:t>Aktenzeichen</w:t>
            </w:r>
          </w:p>
        </w:tc>
        <w:tc>
          <w:tcPr>
            <w:tcW w:type="dxa" w:w="3402"/>
            <w:vAlign w:val="center"/>
          </w:tcPr>
          <w:p>
            <w:r>
              <w:rPr>
                <w:rFonts w:ascii="Arial" w:hAnsi="Arial"/>
                <w:sz w:val="17"/>
              </w:rPr>
              <w:t>26/771-Sa/Ri</w:t>
            </w:r>
          </w:p>
        </w:tc>
      </w:tr>
    </w:tbl>
    <w:p/>
    <w:p>
      <w:pPr>
        <w:pStyle w:val="Title"/>
      </w:pPr>
      <w:r>
        <w:t>Vorläufige Nachlassaufstellung</w:t>
      </w:r>
    </w:p>
    <w:p>
      <w:r>
        <w:t>Die nachstehenden Werte beruhen auf Angaben des Mandanten und den bis 27. Juni eingegangenen Unterlagen. Bewertungsstichtage, Belastungen und einzelne Eigentumszuordnungen sind noch nicht abschließend geprüft.</w:t>
      </w:r>
    </w:p>
    <w:tbl>
      <w:tblPr>
        <w:tblStyle w:val="TableGrid"/>
        <w:tblW w:type="auto" w:w="0"/>
        <w:jc w:val="center"/>
        <w:tblLook w:firstColumn="1" w:firstRow="1" w:lastColumn="0" w:lastRow="0" w:noHBand="0" w:noVBand="1" w:val="04A0"/>
      </w:tblPr>
      <w:tblGrid>
        <w:gridCol w:w="4762"/>
        <w:gridCol w:w="4762"/>
      </w:tblGrid>
      <w:tr>
        <w:tc>
          <w:tcPr>
            <w:tcW w:type="dxa" w:w="4762"/>
            <w:vAlign w:val="center"/>
            <w:shd w:fill="4C2F38"/>
          </w:tcPr>
          <w:p>
            <w:r>
              <w:rPr>
                <w:rFonts w:ascii="Arial" w:hAnsi="Arial"/>
                <w:b/>
                <w:color w:val="FFFFFF"/>
                <w:sz w:val="17"/>
              </w:rPr>
              <w:t>Gegenstand</w:t>
            </w:r>
          </w:p>
        </w:tc>
        <w:tc>
          <w:tcPr>
            <w:tcW w:type="dxa" w:w="4762"/>
            <w:vAlign w:val="center"/>
            <w:shd w:fill="4C2F38"/>
          </w:tcPr>
          <w:p>
            <w:r>
              <w:rPr>
                <w:rFonts w:ascii="Arial" w:hAnsi="Arial"/>
                <w:b/>
                <w:color w:val="FFFFFF"/>
                <w:sz w:val="17"/>
              </w:rPr>
              <w:t>vorläufige Wertangabe</w:t>
            </w:r>
          </w:p>
        </w:tc>
      </w:tr>
      <w:tr>
        <w:tc>
          <w:tcPr>
            <w:tcW w:type="dxa" w:w="4762"/>
            <w:vAlign w:val="center"/>
          </w:tcPr>
          <w:p>
            <w:r>
              <w:rPr>
                <w:rFonts w:ascii="Arial" w:hAnsi="Arial"/>
                <w:sz w:val="17"/>
              </w:rPr>
              <w:t>86 Prozent Sander Präzisionsteile GmbH</w:t>
            </w:r>
          </w:p>
        </w:tc>
        <w:tc>
          <w:tcPr>
            <w:tcW w:type="dxa" w:w="4762"/>
            <w:vAlign w:val="center"/>
          </w:tcPr>
          <w:p>
            <w:r>
              <w:rPr>
                <w:rFonts w:ascii="Arial" w:hAnsi="Arial"/>
                <w:sz w:val="17"/>
              </w:rPr>
              <w:t>2064000,00 EUR</w:t>
            </w:r>
          </w:p>
        </w:tc>
      </w:tr>
      <w:tr>
        <w:tc>
          <w:tcPr>
            <w:tcW w:type="dxa" w:w="4762"/>
            <w:vAlign w:val="center"/>
          </w:tcPr>
          <w:p>
            <w:r>
              <w:rPr>
                <w:rFonts w:ascii="Arial" w:hAnsi="Arial"/>
                <w:sz w:val="17"/>
              </w:rPr>
              <w:t>Wohnhaus Erfurt</w:t>
            </w:r>
          </w:p>
        </w:tc>
        <w:tc>
          <w:tcPr>
            <w:tcW w:type="dxa" w:w="4762"/>
            <w:vAlign w:val="center"/>
          </w:tcPr>
          <w:p>
            <w:r>
              <w:rPr>
                <w:rFonts w:ascii="Arial" w:hAnsi="Arial"/>
                <w:sz w:val="17"/>
              </w:rPr>
              <w:t>740000,00 EUR</w:t>
            </w:r>
          </w:p>
        </w:tc>
      </w:tr>
      <w:tr>
        <w:tc>
          <w:tcPr>
            <w:tcW w:type="dxa" w:w="4762"/>
            <w:vAlign w:val="center"/>
          </w:tcPr>
          <w:p>
            <w:r>
              <w:rPr>
                <w:rFonts w:ascii="Arial" w:hAnsi="Arial"/>
                <w:sz w:val="17"/>
              </w:rPr>
              <w:t>Depot</w:t>
            </w:r>
          </w:p>
        </w:tc>
        <w:tc>
          <w:tcPr>
            <w:tcW w:type="dxa" w:w="4762"/>
            <w:vAlign w:val="center"/>
          </w:tcPr>
          <w:p>
            <w:r>
              <w:rPr>
                <w:rFonts w:ascii="Arial" w:hAnsi="Arial"/>
                <w:sz w:val="17"/>
              </w:rPr>
              <w:t>310000,00 EUR</w:t>
            </w:r>
          </w:p>
        </w:tc>
      </w:tr>
      <w:tr>
        <w:tc>
          <w:tcPr>
            <w:tcW w:type="dxa" w:w="4762"/>
            <w:vAlign w:val="center"/>
          </w:tcPr>
          <w:p>
            <w:r>
              <w:rPr>
                <w:rFonts w:ascii="Arial" w:hAnsi="Arial"/>
                <w:sz w:val="17"/>
              </w:rPr>
              <w:t>Oldtimer Porsche 911</w:t>
            </w:r>
          </w:p>
        </w:tc>
        <w:tc>
          <w:tcPr>
            <w:tcW w:type="dxa" w:w="4762"/>
            <w:vAlign w:val="center"/>
          </w:tcPr>
          <w:p>
            <w:r>
              <w:rPr>
                <w:rFonts w:ascii="Arial" w:hAnsi="Arial"/>
                <w:sz w:val="17"/>
              </w:rPr>
              <w:t>118000,00 EUR</w:t>
            </w:r>
          </w:p>
        </w:tc>
      </w:tr>
      <w:tr>
        <w:tc>
          <w:tcPr>
            <w:tcW w:type="dxa" w:w="4762"/>
            <w:vAlign w:val="center"/>
          </w:tcPr>
          <w:p>
            <w:r>
              <w:rPr>
                <w:rFonts w:ascii="Arial" w:hAnsi="Arial"/>
                <w:sz w:val="17"/>
              </w:rPr>
              <w:t>Darlehensforderung gegenüber GmbH</w:t>
            </w:r>
          </w:p>
        </w:tc>
        <w:tc>
          <w:tcPr>
            <w:tcW w:type="dxa" w:w="4762"/>
            <w:vAlign w:val="center"/>
          </w:tcPr>
          <w:p>
            <w:r>
              <w:rPr>
                <w:rFonts w:ascii="Arial" w:hAnsi="Arial"/>
                <w:sz w:val="17"/>
              </w:rPr>
              <w:t>280000,00 EUR</w:t>
            </w:r>
          </w:p>
        </w:tc>
      </w:tr>
      <w:tr>
        <w:tc>
          <w:tcPr>
            <w:tcW w:type="dxa" w:w="4762"/>
            <w:vAlign w:val="center"/>
          </w:tcPr>
          <w:p>
            <w:r>
              <w:rPr>
                <w:rFonts w:ascii="Arial" w:hAnsi="Arial"/>
                <w:sz w:val="17"/>
              </w:rPr>
              <w:t>private Bankverbindlichkeiten</w:t>
            </w:r>
          </w:p>
        </w:tc>
        <w:tc>
          <w:tcPr>
            <w:tcW w:type="dxa" w:w="4762"/>
            <w:vAlign w:val="center"/>
          </w:tcPr>
          <w:p>
            <w:r>
              <w:rPr>
                <w:rFonts w:ascii="Arial" w:hAnsi="Arial"/>
                <w:sz w:val="17"/>
              </w:rPr>
              <w:t>-220000,00 EUR</w:t>
            </w:r>
          </w:p>
        </w:tc>
      </w:tr>
    </w:tbl>
    <w:p/>
    <w:p>
      <w:r>
        <w:t>Noch nicht beziffert sind Hausrat und Kunstgegenstände, die Ferienwohnung in Zinnowitz, mögliche Steuererstattungen 2025/2026, Bestattungskosten sowie ein im Kontenblatt vermerkter Rückzahlungsanspruch gegen die GmbH. Zum Oldtimer liegen Kaufvertrag und Zustandsbericht, aber kein aktuelles Wertgutachten vor.</w:t>
      </w:r>
    </w:p>
    <w:p>
      <w:r>
        <w:t>Die Beteiligung ist mit dem von Jonas Kretzschmar genannten Unternehmenswert angesetzt. Ob Gesellschafterdarlehen, latente Steuern, Verfügungsbeschränkungen und die Geschäftsführungsabhängigkeit wertmindernd zu berücksichtigen sind, bleibt offen. Belege werden nach Eingang in einem gesonderten Anlagenverzeichnis geführt.</w:t>
      </w:r>
    </w:p>
    <w:p/>
    <w:p>
      <w:r>
        <w:rPr>
          <w:rFonts w:ascii="Arial" w:hAnsi="Arial"/>
          <w:b/>
          <w:sz w:val="20"/>
        </w:rPr>
        <w:t>Dr. Maximilian Riedel</w:t>
        <w:br/>
      </w:r>
      <w:r>
        <w:rPr>
          <w:rFonts w:ascii="Arial" w:hAnsi="Arial"/>
          <w:sz w:val="20"/>
        </w:rPr>
        <w:t>Rechtsanwalt · Fachanwalt für Erbrecht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04c_vorläufige_nachlassaufstellung_jonas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4C2F38"/>
        <w:sz w:val="20"/>
      </w:rPr>
      <w:t>Kretzschmar &amp; Riedel Rechtsanwälte</w:t>
    </w:r>
  </w:p>
  <w:p>
    <w:pPr>
      <w:spacing w:after="0"/>
      <w:pBdr>
        <w:bottom w:val="single" w:sz="8" w:space="3" w:color="4C2F38"/>
      </w:pBdr>
    </w:pPr>
    <w:r>
      <w:rPr>
        <w:rFonts w:ascii="Arial" w:hAnsi="Arial"/>
        <w:sz w:val="16"/>
      </w:rPr>
      <w:t>Anger 41, 99084 Erfurt | Telefon 0361 550 81-0 | Telefax 0361 550 81-29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C2F3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C2F3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4C2F38"/>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Vorläufige Nachlassaufstellung</dc:title>
  <dc:subject/>
  <dc:creator>Kretzschmar &amp; Riedel Rechtsanwälte</dc:creator>
  <cp:keywords/>
  <dc:description>generated by python-docx</dc:description>
  <cp:lastModifiedBy/>
  <cp:revision>1</cp:revision>
  <dcterms:created xsi:type="dcterms:W3CDTF">2013-12-23T23:15:00Z</dcterms:created>
  <dcterms:modified xsi:type="dcterms:W3CDTF">2013-12-23T23:15:00Z</dcterms:modified>
  <cp:category/>
</cp:coreProperties>
</file>