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Mandantin</w:t>
            </w:r>
          </w:p>
        </w:tc>
        <w:tc>
          <w:tcPr>
            <w:tcW w:type="dxa" w:w="3402"/>
            <w:vAlign w:val="center"/>
          </w:tcPr>
          <w:p>
            <w:r>
              <w:rPr>
                <w:rFonts w:ascii="Arial" w:hAnsi="Arial"/>
                <w:sz w:val="17"/>
              </w:rPr>
              <w:t>Nele Sander</w:t>
            </w:r>
          </w:p>
        </w:tc>
      </w:tr>
      <w:tr>
        <w:tc>
          <w:tcPr>
            <w:tcW w:type="dxa" w:w="1984"/>
            <w:vAlign w:val="center"/>
          </w:tcPr>
          <w:p>
            <w:r>
              <w:rPr>
                <w:rFonts w:ascii="Arial" w:hAnsi="Arial"/>
                <w:b/>
                <w:sz w:val="17"/>
              </w:rPr>
              <w:t>Datum</w:t>
            </w:r>
          </w:p>
        </w:tc>
        <w:tc>
          <w:tcPr>
            <w:tcW w:type="dxa" w:w="3402"/>
            <w:vAlign w:val="center"/>
          </w:tcPr>
          <w:p>
            <w:r>
              <w:rPr>
                <w:rFonts w:ascii="Arial" w:hAnsi="Arial"/>
                <w:sz w:val="17"/>
              </w:rPr>
              <w:t>29. Juni 2026</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26/441-NS/pa</w:t>
            </w:r>
          </w:p>
        </w:tc>
      </w:tr>
    </w:tbl>
    <w:p/>
    <w:p>
      <w:pPr>
        <w:pStyle w:val="Title"/>
      </w:pPr>
      <w:r>
        <w:t>Zugangs- und Belegvermerk zum Auskunftsverlangen</w:t>
      </w:r>
    </w:p>
    <w:p>
      <w:r>
        <w:t>Die Mandantin übergab eine Kopie ihres Schreibens vom 22. Juni 2026 und die ausgedruckte Antwort von Jonas Kretzschmar vom 25. Juni. Nachbarin Anke Förster bestätigte telefonisch am 29. Juni um 10:14 Uhr, beim Einwurf des ersten Schreibens am 22. Juni um 17:18 Uhr anwesend gewesen zu sein.</w:t>
      </w:r>
    </w:p>
    <w:p>
      <w:r>
        <w:t>Ein geordnetes Nachlassverzeichnis oder Belege waren der Antwort nicht beigefügt. Vorhanden sind lediglich Einzelbeträge aus einer von der Gegenseite erstellten vorläufigen Aufstellung. Für jede Position sind Eigentum, Stichtag, Bewertungsquelle und Belastungen gesondert anzufordern.</w:t>
      </w:r>
    </w:p>
    <w:p>
      <w:r>
        <w:t>Beim Unternehmen fehlen Gesellschaftsvertrag, Gesellschafterlisten vor und nach der Adoption, Jahresabschlüsse 2024 und 2025, Gesellschafterdarlehen und Unterlagen zum Anteilserwerb. Für die Ferienwohnung sind Grundbuchauszug, Darlehensstand, Nutzungsvereinbarungen und laufende Einnahmen erforderlich.</w:t>
      </w:r>
    </w:p>
    <w:p>
      <w:r>
        <w:t>Die Originalschreiben werden in Umschlag U-04 verwahrt. Die E-Mail-Antwort wurde mit vollständigen Kopfzeilen als EML gesichert. Frist zur erneuten Beleganforderung: 6. Juli 2026; Vorfrist: 2. Juli 2026.</w:t>
      </w:r>
    </w:p>
    <w:p/>
    <w:p>
      <w:r>
        <w:rPr>
          <w:rFonts w:ascii="Arial" w:hAnsi="Arial"/>
          <w:b/>
          <w:sz w:val="20"/>
        </w:rPr>
        <w:t>Sarah Pahlke</w:t>
        <w:br/>
      </w:r>
      <w:r>
        <w:rPr>
          <w:rFonts w:ascii="Arial" w:hAnsi="Arial"/>
          <w:sz w:val="20"/>
        </w:rPr>
        <w:t>Rechtsanwältin · Fachanwältin für Erbrecht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04d_zugangs_und_belegvermerk_auskunft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Lindner · Pahlke Rechtsanwälte PartG mbB</w:t>
    </w:r>
  </w:p>
  <w:p>
    <w:pPr>
      <w:spacing w:after="0"/>
      <w:pBdr>
        <w:bottom w:val="single" w:sz="8" w:space="3" w:color="4C2F38"/>
      </w:pBdr>
    </w:pPr>
    <w:r>
      <w:rPr>
        <w:rFonts w:ascii="Arial" w:hAnsi="Arial"/>
        <w:sz w:val="16"/>
      </w:rPr>
      <w:t>Regierungsstraße 28, 99084 Erfurt | Telefon 0361 601 44-0 | Telefax 0361 601 44-19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Zugangs- und Belegvermerk zum Auskunftsverlangen</dc:title>
  <dc:subject/>
  <dc:creator>Lindner · Pahlke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