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Gesprächsunterlage für eine Zwischenvereinbarung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Parteien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Nele Sander und Jonas Mielke-Sander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Stand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06.07.2026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Zweck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Mögliche Sicherungs- und Verfahrensbausteine; kein Angebot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Vertraulichkeit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Nur für Mandatsbesprechung</w:t>
            </w:r>
          </w:p>
        </w:tc>
      </w:tr>
    </w:tbl>
    <w:p/>
    <w:p>
      <w:pPr>
        <w:pStyle w:val="Heading1"/>
      </w:pPr>
      <w:r>
        <w:t>1. Gemeinsame Regelungsgegenstände</w:t>
      </w:r>
    </w:p>
    <w:p>
      <w:pPr>
        <w:keepLines w:val="0"/>
      </w:pPr>
      <w:r>
        <w:t>Unternehmenshandlungsfähigkeit, Nachlassauskunft, unabhängige Bewertung, Abschlagszahlungen, Sicherheiten und Kosten können getrennt verhandelt werden. Eine Verständigung über einen Punkt soll nicht stillschweigend als Anerkennung anderer Punkte gelten.</w:t>
      </w:r>
    </w:p>
    <w:p>
      <w:pPr>
        <w:pStyle w:val="Heading1"/>
      </w:pPr>
      <w:r>
        <w:t>2. Bausteinvarianten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Baustein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Variante A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Variante B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Noch zu klären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Nachlassverzeichnis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notariell mit Anwesenheit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privat vorab, notariell anschließend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Notar, Zeitplan, Kosten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Unternehmensbewertung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gemeinsamer Gutachter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zwei Gutachten mit Schiedsgutachter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Standard, Datenzugang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Abschlag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fester Betrag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Prozentsatz eines Mindestwerts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Sicherheit, Fälligkeit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Erbschein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keine Einwendung bis Frist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Anhörung ohne Rechtsmittelverzicht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Wortlaut und Dauer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Bank / Kunden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gemeinsame Sachmitteilung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getrennte Mitteilungen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Vertraulichkeit</w:t>
            </w:r>
          </w:p>
        </w:tc>
      </w:tr>
    </w:tbl>
    <w:p>
      <w:pPr>
        <w:pStyle w:val="Heading1"/>
      </w:pPr>
      <w:r>
        <w:t>3. Mindestdokumentation</w:t>
      </w:r>
    </w:p>
    <w:p>
      <w:pPr>
        <w:keepLines w:val="0"/>
      </w:pPr>
      <w:r>
        <w:t>Jede Vereinbarung muss Parteien, betroffene Ansprüche, Zeitraum, Fristen, Sicherheiten, Auskunftsstandard und Rechtsfolgen eines Verstoßes ausdrücklich nennen. Eine Stillhalteabrede wird nicht als weitergehender Verzicht formuliert. Unternehmens- und Nachlassgelder bleiben getrennt.</w:t>
      </w:r>
    </w:p>
    <w:p>
      <w:pPr>
        <w:pStyle w:val="Heading1"/>
      </w:pPr>
      <w:r>
        <w:t>4. Noch fehlende Tatsachen</w:t>
      </w:r>
    </w:p>
    <w:p>
      <w:pPr>
        <w:keepLines w:val="0"/>
      </w:pPr>
      <w:r>
        <w:t>Unabhängiger Unternehmenswert, vollständiger Nachlassbestand, genaue Verfügungsbefugnis über den GmbH-Anteil, Fälligkeit der Kaufpreisrestforderung, Umfang möglicher Pflichtteilspositionen und Liquiditätsplan. Solange diese Punkte offen sind, bleibt jede Zahl ein Verhandlungswert.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Dr. Carolin Weigand, Rechtsanwältin und Fachanwältin für Erbrecht | Anderkonto DE49 8205 1000 0064 2200 19 | BIC HELADEF1WEM | St.-Nr. 151/284/01983 | Berufshaftpflicht: JurAssekuranz AG, Leipzig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Kanzlei Dr. Weigand</w:t>
          </w:r>
        </w:p>
        <w:p>
          <w:pPr>
            <w:spacing w:after="0"/>
          </w:pPr>
          <w:r>
            <w:rPr>
              <w:color w:val="6B7378"/>
              <w:sz w:val="15"/>
            </w:rPr>
            <w:t>Familien- und Erbrecht | Anger 55 | 99084 Erfurt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Sander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118/26 W02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Kanzlei Dr. Weigand</dc:creator>
  <cp:keywords/>
  <dc:description>generated by python-docx</dc:description>
  <cp:lastModifiedBy>Kanzlei Dr. Weigand</cp:lastModifiedBy>
  <cp:revision>1</cp:revision>
  <dcterms:created xsi:type="dcterms:W3CDTF">2026-07-15T12:00:00Z</dcterms:created>
  <dcterms:modified xsi:type="dcterms:W3CDTF">2026-07-15T12:00:00Z</dcterms:modified>
  <cp:category/>
</cp:coreProperties>
</file>