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Telefonnotiz – Ferienwohnung Zinnowitz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87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Anruf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02.07.2026, 11:47 bis 12:08 Uhr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Anruferin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Nele Sander, aus dem geparkten Fahrzeug vor dem Klinikum Weimar</w:t>
            </w:r>
          </w:p>
        </w:tc>
      </w:tr>
      <w:tr>
        <w:tc>
          <w:tcPr>
            <w:tcW w:type="dxa" w:w="4872"/>
            <w:shd w:fill="F2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Aufgenommen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Paula Schenk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Aktenzeichen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118/26 W02</w:t>
            </w:r>
          </w:p>
        </w:tc>
      </w:tr>
    </w:tbl>
    <w:p/>
    <w:p>
      <w:pPr>
        <w:pStyle w:val="Heading1"/>
      </w:pPr>
      <w:r>
        <w:t>1. Mitteilung</w:t>
      </w:r>
    </w:p>
    <w:p>
      <w:pPr>
        <w:keepLines w:val="0"/>
      </w:pPr>
      <w:r>
        <w:t>Nele fand in einem alten Familienchat eine Nachricht ihres Vaters vom 08.04.2026: Ich fahre Ostern noch einmal nach Zinnowitz, Schlüssel liegt bei Jonas. Die Ferienwohnung fehlt in Jonas' Aufstellung. Nele besitzt außerdem eine Betriebskostenabrechnung 2025 an Ralf Sander, Dünenstraße 18, Zinnowitz.</w:t>
      </w:r>
    </w:p>
    <w:p>
      <w:pPr>
        <w:pStyle w:val="Heading1"/>
      </w:pPr>
      <w:r>
        <w:t>2. Unterlagen</w:t>
      </w:r>
    </w:p>
    <w:p>
      <w:pPr>
        <w:keepLines w:val="0"/>
      </w:pPr>
      <w:r>
        <w:t>Die Mandantin soll Chat-Export und Abrechnung im Originalformat über das Portal hochladen. Screenshots allein reichen für Zeitstempel und Kontext nicht aus. Sie soll Jonas nicht vorab fragen, damit zuerst Grundbuch- und Zahlungsdaten gesichert werden können.</w:t>
      </w:r>
    </w:p>
    <w:p>
      <w:pPr>
        <w:pStyle w:val="Heading1"/>
      </w:pPr>
      <w:r>
        <w:t>3. Verfügung</w:t>
      </w:r>
    </w:p>
    <w:p>
      <w:pPr>
        <w:keepLines w:val="0"/>
      </w:pPr>
      <w:r>
        <w:t>Grundbuchauszug Zinnowitz beantragen; Bankauskunft auf Hausgeldzahlungen prüfen; Position im Nachlassverzeichnis ergänzen. Wiedervorlage Dr. Weigand 03.07.2026, 09:15 Uhr. Randnotiz 12:21 Uhr: Nicht als Verschweigen bezeichnen, solange Kenntnis und Eigentum nicht belegt sind.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Dr. Carolin Weigand, Rechtsanwältin und Fachanwältin für Erbrecht | Anderkonto DE49 8205 1000 0064 2200 19 | BIC HELADEF1WEM | St.-Nr. 151/284/01983 | Berufshaftpflicht: JurAssekuranz AG, Leipzig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Kanzlei Dr. Weigand</w:t>
          </w:r>
        </w:p>
        <w:p>
          <w:pPr>
            <w:spacing w:after="0"/>
          </w:pPr>
          <w:r>
            <w:rPr>
              <w:color w:val="6B7378"/>
              <w:sz w:val="15"/>
            </w:rPr>
            <w:t>Familien- und Erbrecht | Anger 55 | 99084 Erfurt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Nachlass Sander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118/26 W02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Kanzlei Dr. Weigand</dc:creator>
  <cp:keywords/>
  <dc:description>generated by python-docx</dc:description>
  <cp:lastModifiedBy>Kanzlei Dr. Weigand</cp:lastModifiedBy>
  <cp:revision>1</cp:revision>
  <dcterms:created xsi:type="dcterms:W3CDTF">2026-07-15T12:00:00Z</dcterms:created>
  <dcterms:modified xsi:type="dcterms:W3CDTF">2026-07-15T12:00:00Z</dcterms:modified>
  <cp:category/>
</cp:coreProperties>
</file>