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Kosten- und Vorschussübersicht – Entwurf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87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Mandantin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Nele Sander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Mandat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Nachlass Ralf Sander</w:t>
            </w:r>
          </w:p>
        </w:tc>
      </w:tr>
      <w:tr>
        <w:tc>
          <w:tcPr>
            <w:tcW w:type="dxa" w:w="4872"/>
            <w:shd w:fill="F2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Stand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08.07.2026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Status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Keine Schlussrechnung</w:t>
            </w:r>
          </w:p>
        </w:tc>
      </w:tr>
    </w:tbl>
    <w:p/>
    <w:p>
      <w:pPr>
        <w:pStyle w:val="Heading1"/>
      </w:pPr>
      <w:r>
        <w:t>1. Tätigkeitsbereiche</w:t>
      </w:r>
    </w:p>
    <w:p>
      <w:pPr>
        <w:keepLines w:val="0"/>
      </w:pPr>
      <w:r>
        <w:t>Akteneinsicht im Adoptions- und Erbscheinsverfahren, außergerichtliche Auskunft, Unternehmensbewertung und mögliche gerichtliche Stufenklage werden getrennt erfasst. Eine Gebühr wird nicht mehrfach angesetzt, ohne Anrechnung und Identität des Gegenstands zu prüfen.</w:t>
      </w:r>
    </w:p>
    <w:p>
      <w:pPr>
        <w:pStyle w:val="Heading1"/>
      </w:pPr>
      <w:r>
        <w:t>2. Auslagen und Fremdkosten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Betrag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Vorschuss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3000,00 EUR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Eingang 25.06.2026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Aktenkopie Familiengericht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74,50 EUR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bezahlt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Grundbuchauszug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10,00 EUR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verauslagt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Unternehmensgutachten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18000,00 bis 28000,00 EUR netto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nicht beauftragt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Notarielles Verzeichnis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Kostenangebot offen</w:t>
            </w:r>
          </w:p>
        </w:tc>
        <w:tc>
          <w:tcPr>
            <w:tcW w:type="dxa" w:w="3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angefragt</w:t>
            </w:r>
          </w:p>
        </w:tc>
      </w:tr>
    </w:tbl>
    <w:p>
      <w:pPr>
        <w:pStyle w:val="Heading1"/>
      </w:pPr>
      <w:r>
        <w:t>3. Gegenstandswerte</w:t>
      </w:r>
    </w:p>
    <w:p>
      <w:pPr>
        <w:keepLines w:val="0"/>
      </w:pPr>
      <w:r>
        <w:t>Für das Erbscheinsverfahren ist das wirtschaftliche Interesse am beantragten Erbnachweis maßgeblich; Unternehmens- und Nachlasswerte sind noch streitig. Für Auskunft und Wertermittlung wird kein endgültiger Zahlungswert fingiert. Die Akte enthält deshalb Wertbandbreiten und Quellen, aber keine verbindliche Kostenrechnung.</w:t>
      </w:r>
    </w:p>
    <w:p>
      <w:pPr>
        <w:pStyle w:val="Heading1"/>
      </w:pPr>
      <w:r>
        <w:t>4. Freigabe</w:t>
      </w:r>
    </w:p>
    <w:p>
      <w:pPr>
        <w:keepLines w:val="0"/>
      </w:pPr>
      <w:r>
        <w:t>Fremdkosten nur nach schriftlicher Zustimmung der Mandantin. Bearbeitet Paula Schenk. Anwaltliche Prüfung und Mandantenbesprechung am 10.07.2026 vorgesehen.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Dr. Carolin Weigand, Rechtsanwältin und Fachanwältin für Erbrecht | Anderkonto DE49 8205 1000 0064 2200 19 | BIC HELADEF1WEM | St.-Nr. 151/284/01983 | Berufshaftpflicht: JurAssekuranz AG, Leipzig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Kanzlei Dr. Weigand</w:t>
          </w:r>
        </w:p>
        <w:p>
          <w:pPr>
            <w:spacing w:after="0"/>
          </w:pPr>
          <w:r>
            <w:rPr>
              <w:color w:val="6B7378"/>
              <w:sz w:val="15"/>
            </w:rPr>
            <w:t>Familien- und Erbrecht | Anger 55 | 99084 Erfurt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Nachlass Sander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118/26 W02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Kanzlei Dr. Weigand</dc:creator>
  <cp:keywords/>
  <dc:description>generated by python-docx</dc:description>
  <cp:lastModifiedBy>Kanzlei Dr. Weigand</cp:lastModifiedBy>
  <cp:revision>1</cp:revision>
  <dcterms:created xsi:type="dcterms:W3CDTF">2026-07-15T12:00:00Z</dcterms:created>
  <dcterms:modified xsi:type="dcterms:W3CDTF">2026-07-15T12:00:00Z</dcterms:modified>
  <cp:category/>
</cp:coreProperties>
</file>