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Kanzleinotiz — Erstgespräch Mandantin Dr. Henrike Edelmann</w:t>
      </w:r>
    </w:p>
    <w:p>
      <w:pPr>
        <w:jc w:val="left"/>
      </w:pPr>
      <w:r>
        <w:rPr>
          <w:b/>
        </w:rPr>
        <w:t>Datum:</w:t>
      </w:r>
      <w:r>
        <w:t xml:space="preserve"> 22.04.2025, 14:30–16:45 Uhr</w:t>
      </w:r>
    </w:p>
    <w:p>
      <w:pPr>
        <w:jc w:val="left"/>
      </w:pPr>
      <w:r>
        <w:rPr>
          <w:b/>
        </w:rPr>
        <w:t>Kanzlei:</w:t>
      </w:r>
      <w:r>
        <w:t xml:space="preserve"> Klotzkette Rechtsanwaltsgesellschaft mbH, Friedrichstraße 112, 10117 Berlin</w:t>
      </w:r>
    </w:p>
    <w:p>
      <w:pPr>
        <w:jc w:val="left"/>
      </w:pPr>
      <w:r>
        <w:rPr>
          <w:b/>
        </w:rPr>
        <w:t>Bearbeiterin:</w:t>
      </w:r>
      <w:r>
        <w:t xml:space="preserve"> RAin Sabine Steinkamp, Fachanwältin Erbrecht (FAErbR)</w:t>
      </w:r>
    </w:p>
    <w:p>
      <w:pPr>
        <w:jc w:val="left"/>
      </w:pPr>
      <w:r>
        <w:rPr>
          <w:b/>
        </w:rPr>
        <w:t>Mandantin:</w:t>
      </w:r>
      <w:r>
        <w:t xml:space="preserve"> Dr. Henrike Edelmann, Bodenseering 7, 78462 Konstanz</w:t>
      </w:r>
    </w:p>
    <w:p>
      <w:pPr>
        <w:jc w:val="left"/>
      </w:pPr>
      <w:r>
        <w:rPr>
          <w:b/>
        </w:rPr>
        <w:t>Vollmacht:</w:t>
      </w:r>
      <w:r>
        <w:t xml:space="preserve"> Unterzeichnet 22.04.2025, liegt im Original vor.</w:t>
      </w:r>
    </w:p>
    <w:p>
      <w:pPr>
        <w:jc w:val="left"/>
      </w:pPr>
      <w:r>
        <w:rPr>
          <w:b/>
        </w:rPr>
        <w:t>Az. Kanzlei:</w:t>
      </w:r>
      <w:r>
        <w:t xml:space="preserve"> KlKette 025/0422-ERB-EDE</w:t>
      </w:r>
    </w:p>
    <w:p/>
    <w:p>
      <w:pPr>
        <w:pStyle w:val="Heading2"/>
      </w:pPr>
      <w:r>
        <w:rPr>
          <w:rFonts w:ascii="Times New Roman" w:hAnsi="Times New Roman"/>
        </w:rPr>
        <w:t>1. Gesprächsrahmen</w:t>
      </w:r>
    </w:p>
    <w:p>
      <w:pPr>
        <w:jc w:val="left"/>
      </w:pPr>
      <w:r>
        <w:t>Dr. Henrike Edelmann erscheint pünktlich, wirkt kontrolliert, sachlich, erkennbar unter Druck. Sie ist Internistin (niedergelassen in Konstanz, Praxisgemeinschaft mit drei Kolleginnen), geschieden, ein Kind (Sohn, volljährig). Sie fährt regelmäßig zwischen Konstanz und Stuttgart, seit ihr Vater in den letzten Monaten vor dem Tod pflegebedürftiger wurde; ab Herbst 2024 engagierte sie eine ambulante Pflegekraft, die das Ehepaar Edelmann-Praun zunächst ablehnte.</w:t>
      </w:r>
    </w:p>
    <w:p>
      <w:pPr>
        <w:jc w:val="left"/>
      </w:pPr>
      <w:r>
        <w:t>Mitgebracht hat sie: zwei Leitz-Ordner (Kopien Bankunterlagen, Versicherungspolice, alter Briefwechsel mit dem Vater), eine Kopie des handschriftlichen Testaments (ihr Bruder Constantin hat ihr eine Fotografie per Signal geschickt, das Original liegt noch bei Marlies Edelmann-Praun im Haus), und eine ausgedruckte E-Mail ihrer Halbschwester Marie-Theres Edelmann-Berlepsch vom 14.04.2025, in der Marie-Theres schreibt, sie wolle „nicht noch einmal leer ausgehen wie bei Mutters Tod".</w:t>
      </w:r>
    </w:p>
    <w:p>
      <w:pPr>
        <w:jc w:val="left"/>
      </w:pPr>
      <w:r>
        <w:t>Das Gespräch findet in Präsenz statt. RAin Steinkamp führt das Gespräch; Referendarin Maximilian-Klara Fust nimmt an und führt Protokoll.</w:t>
      </w:r>
    </w:p>
    <w:p/>
    <w:p>
      <w:pPr>
        <w:pStyle w:val="Heading2"/>
      </w:pPr>
      <w:r>
        <w:rPr>
          <w:rFonts w:ascii="Times New Roman" w:hAnsi="Times New Roman"/>
        </w:rPr>
        <w:t>2. Sachverhaltsaufnahme</w:t>
      </w:r>
    </w:p>
    <w:p>
      <w:pPr>
        <w:pStyle w:val="Heading3"/>
      </w:pPr>
      <w:r>
        <w:rPr>
          <w:rFonts w:ascii="Times New Roman" w:hAnsi="Times New Roman"/>
        </w:rPr>
        <w:t>2.1 Der Erblasser</w:t>
      </w:r>
    </w:p>
    <w:p>
      <w:pPr>
        <w:jc w:val="left"/>
      </w:pPr>
      <w:r>
        <w:t>Prof. Dr. Reinhard Edelmann, geb. 03.02.1947, verst. 12.03.2025 in Stuttgart-Degerloch (Anschrift zuletzt: Sonnenbergstraße 38a, 70195 Stuttgart). Todesursache laut Leichenschauschein: Herzversagen; keine gerichtliche oder staatsanwaltliche Veranlassung zu einer Sektion; keine Anzeichen für äußere Einwirkung.</w:t>
      </w:r>
    </w:p>
    <w:p>
      <w:pPr>
        <w:jc w:val="left"/>
      </w:pPr>
      <w:r>
        <w:t>Edelmann war em. Universitätsprofessor für Vermögensgeschichte des 19. Jahrhunderts (Universität Stuttgart-Hohenheim, Emeritierung 2014). Er publizierte bis zuletzt, hatte ein Forschungsprojekt zur Blockchain-Geschichte in der Schule des Buchhandels betrieben, was seinen Interessen für Bitcoin und Ethereum erklärt. Gesundheitlich litt er in den letzten zwei Jahren unter einem fortgeschrittenen Herzleiden; Betreuung wurde nie eingerichtet; Geschäftsfähigkeit nach Angaben der Mandantin bis zuletzt nicht ernsthaft zweifelhaft.</w:t>
      </w:r>
    </w:p>
    <w:p>
      <w:pPr>
        <w:pStyle w:val="Heading3"/>
      </w:pPr>
      <w:r>
        <w:rPr>
          <w:rFonts w:ascii="Times New Roman" w:hAnsi="Times New Roman"/>
        </w:rPr>
        <w:t>2.2 Familiäre Verhältnisse (Überblick; ausführlich in 02)</w:t>
      </w:r>
    </w:p>
    <w:p>
      <w:pPr>
        <w:jc w:val="left"/>
      </w:pPr>
      <w:r>
        <w:t>Erste Ehe mit Dagmar Edelmann, geb. Schneewind (geschieden 1994): Kinder Henrike (geb. 1973), Constantin (geb. 1976), Marie-Theres (geb. 1984, aus Beziehung mit Frau Schneewind, Vaterschaft durch Edelmann anerkannt 1985). Zweite Ehe mit Marlies Edelmann-Praun (geb. 1964), Heirat Oktober 2014; kinderlos aus dieser Ehe.</w:t>
      </w:r>
    </w:p>
    <w:p>
      <w:pPr>
        <w:pStyle w:val="Heading3"/>
      </w:pPr>
      <w:r>
        <w:rPr>
          <w:rFonts w:ascii="Times New Roman" w:hAnsi="Times New Roman"/>
        </w:rPr>
        <w:t>2.3 Testamentslage (Überblick)</w:t>
      </w:r>
    </w:p>
    <w:p>
      <w:pPr>
        <w:jc w:val="left"/>
      </w:pPr>
      <w:r>
        <w:t>Mandantin kennt ein handschriftliches Testament vom 09.11.2019, das sie über das Signal-Foto des Bruders kennt. Das Testament setzt alle vier (Marlies, Henrike, Constantin, Marie-Theres) zu gleichen Teilen (je 1/4) als Erben ein und enthält ein Vorausvermächtnis eines lebenslangen Wohnrechts für Marlies am Hausgrundstück. Constantin hat ihr gegenüber telefonisch erwähnt, der Vater habe bei Notar Welz „etwas hinterlegt", ohne dass ein neues Testament errichtet worden sei.</w:t>
      </w:r>
    </w:p>
    <w:p>
      <w:pPr>
        <w:jc w:val="left"/>
      </w:pPr>
      <w:r>
        <w:rPr>
          <w:b/>
        </w:rPr>
        <w:t>Kritische Unklarheit:</w:t>
      </w:r>
      <w:r>
        <w:t xml:space="preserve"> Das Originalexemplar des Testaments hat zuletzt bei Marlies gelegen. Ob weitere Exemplare oder ein Widerruf existieren, ist unbekannt. Henrike hat den Eindruck, dass Marlies ein zweites, aktuelleres Testament „irgendwo erwähnt" haben soll — Marlies streitet das gegenüber Henrike auf Nachfrage ab.</w:t>
      </w:r>
    </w:p>
    <w:p>
      <w:pPr>
        <w:pStyle w:val="Heading3"/>
      </w:pPr>
      <w:r>
        <w:rPr>
          <w:rFonts w:ascii="Times New Roman" w:hAnsi="Times New Roman"/>
        </w:rPr>
        <w:t>2.4 Nachlassmasse (erster Überblick; Bewertungsfragen offen)</w:t>
      </w:r>
    </w:p>
    <w:p>
      <w:pPr>
        <w:jc w:val="left"/>
      </w:pPr>
      <w:r>
        <w:t>Positionen, soweit Henrike bekannt:</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Gegenstand</w:t>
            </w:r>
          </w:p>
        </w:tc>
        <w:tc>
          <w:tcPr>
            <w:tcW w:type="dxa" w:w="3024"/>
          </w:tcPr>
          <w:p>
            <w:r>
              <w:rPr>
                <w:rFonts w:ascii="Times New Roman" w:hAnsi="Times New Roman"/>
                <w:b/>
                <w:sz w:val="20"/>
              </w:rPr>
              <w:t>Schätzwert Mandantin</w:t>
            </w:r>
          </w:p>
        </w:tc>
        <w:tc>
          <w:tcPr>
            <w:tcW w:type="dxa" w:w="3024"/>
          </w:tcPr>
          <w:p>
            <w:r>
              <w:rPr>
                <w:rFonts w:ascii="Times New Roman" w:hAnsi="Times New Roman"/>
                <w:b/>
                <w:sz w:val="20"/>
              </w:rPr>
              <w:t>Quelle</w:t>
            </w:r>
          </w:p>
        </w:tc>
      </w:tr>
      <w:tr>
        <w:tc>
          <w:tcPr>
            <w:tcW w:type="dxa" w:w="3024"/>
          </w:tcPr>
          <w:p>
            <w:r>
              <w:rPr>
                <w:rFonts w:ascii="Times New Roman" w:hAnsi="Times New Roman"/>
                <w:sz w:val="20"/>
              </w:rPr>
              <w:t>Hausgrundstück Sonnenbergstraße 38a</w:t>
            </w:r>
          </w:p>
        </w:tc>
        <w:tc>
          <w:tcPr>
            <w:tcW w:type="dxa" w:w="3024"/>
          </w:tcPr>
          <w:p>
            <w:r>
              <w:rPr>
                <w:rFonts w:ascii="Times New Roman" w:hAnsi="Times New Roman"/>
                <w:sz w:val="20"/>
              </w:rPr>
              <w:t>ca. 1,8 Mio. EUR</w:t>
            </w:r>
          </w:p>
        </w:tc>
        <w:tc>
          <w:tcPr>
            <w:tcW w:type="dxa" w:w="3024"/>
          </w:tcPr>
          <w:p>
            <w:r>
              <w:rPr>
                <w:rFonts w:ascii="Times New Roman" w:hAnsi="Times New Roman"/>
                <w:sz w:val="20"/>
              </w:rPr>
              <w:t>„Nachbarn haben ähnliches für 1,9 verkauft"</w:t>
            </w:r>
          </w:p>
        </w:tc>
      </w:tr>
      <w:tr>
        <w:tc>
          <w:tcPr>
            <w:tcW w:type="dxa" w:w="3024"/>
          </w:tcPr>
          <w:p>
            <w:r>
              <w:rPr>
                <w:rFonts w:ascii="Times New Roman" w:hAnsi="Times New Roman"/>
                <w:sz w:val="20"/>
              </w:rPr>
              <w:t>Wertpapierdepot Bankhaus Lampe-Hauck</w:t>
            </w:r>
          </w:p>
        </w:tc>
        <w:tc>
          <w:tcPr>
            <w:tcW w:type="dxa" w:w="3024"/>
          </w:tcPr>
          <w:p>
            <w:r>
              <w:rPr>
                <w:rFonts w:ascii="Times New Roman" w:hAnsi="Times New Roman"/>
                <w:sz w:val="20"/>
              </w:rPr>
              <w:t>ca. 1,1 Mio. EUR</w:t>
            </w:r>
          </w:p>
        </w:tc>
        <w:tc>
          <w:tcPr>
            <w:tcW w:type="dxa" w:w="3024"/>
          </w:tcPr>
          <w:p>
            <w:r>
              <w:rPr>
                <w:rFonts w:ascii="Times New Roman" w:hAnsi="Times New Roman"/>
                <w:sz w:val="20"/>
              </w:rPr>
              <w:t>Kontoauszug Jahresende 2024</w:t>
            </w:r>
          </w:p>
        </w:tc>
      </w:tr>
      <w:tr>
        <w:tc>
          <w:tcPr>
            <w:tcW w:type="dxa" w:w="3024"/>
          </w:tcPr>
          <w:p>
            <w:r>
              <w:rPr>
                <w:rFonts w:ascii="Times New Roman" w:hAnsi="Times New Roman"/>
                <w:sz w:val="20"/>
              </w:rPr>
              <w:t>Krypto-Wallet (3-of-5 Multisig)</w:t>
            </w:r>
          </w:p>
        </w:tc>
        <w:tc>
          <w:tcPr>
            <w:tcW w:type="dxa" w:w="3024"/>
          </w:tcPr>
          <w:p>
            <w:r>
              <w:rPr>
                <w:rFonts w:ascii="Times New Roman" w:hAnsi="Times New Roman"/>
                <w:sz w:val="20"/>
              </w:rPr>
              <w:t>ca. 1,1 Mio. EUR</w:t>
            </w:r>
          </w:p>
        </w:tc>
        <w:tc>
          <w:tcPr>
            <w:tcW w:type="dxa" w:w="3024"/>
          </w:tcPr>
          <w:p>
            <w:r>
              <w:rPr>
                <w:rFonts w:ascii="Times New Roman" w:hAnsi="Times New Roman"/>
                <w:sz w:val="20"/>
              </w:rPr>
              <w:t>Stand 12.03.2025 laut Constantin</w:t>
            </w:r>
          </w:p>
        </w:tc>
      </w:tr>
      <w:tr>
        <w:tc>
          <w:tcPr>
            <w:tcW w:type="dxa" w:w="3024"/>
          </w:tcPr>
          <w:p>
            <w:r>
              <w:rPr>
                <w:rFonts w:ascii="Times New Roman" w:hAnsi="Times New Roman"/>
                <w:sz w:val="20"/>
              </w:rPr>
              <w:t>Lebensversicherung</w:t>
            </w:r>
          </w:p>
        </w:tc>
        <w:tc>
          <w:tcPr>
            <w:tcW w:type="dxa" w:w="3024"/>
          </w:tcPr>
          <w:p>
            <w:r>
              <w:rPr>
                <w:rFonts w:ascii="Times New Roman" w:hAnsi="Times New Roman"/>
                <w:sz w:val="20"/>
              </w:rPr>
              <w:t>230 TEUR</w:t>
            </w:r>
          </w:p>
        </w:tc>
        <w:tc>
          <w:tcPr>
            <w:tcW w:type="dxa" w:w="3024"/>
          </w:tcPr>
          <w:p>
            <w:r>
              <w:rPr>
                <w:rFonts w:ascii="Times New Roman" w:hAnsi="Times New Roman"/>
                <w:sz w:val="20"/>
              </w:rPr>
              <w:t>Police liegt vor, Begünstigte: Marlies</w:t>
            </w:r>
          </w:p>
        </w:tc>
      </w:tr>
      <w:tr>
        <w:tc>
          <w:tcPr>
            <w:tcW w:type="dxa" w:w="3024"/>
          </w:tcPr>
          <w:p>
            <w:r>
              <w:rPr>
                <w:rFonts w:ascii="Times New Roman" w:hAnsi="Times New Roman"/>
                <w:sz w:val="20"/>
              </w:rPr>
              <w:t>Kunstdrucke (3 Stück)</w:t>
            </w:r>
          </w:p>
        </w:tc>
        <w:tc>
          <w:tcPr>
            <w:tcW w:type="dxa" w:w="3024"/>
          </w:tcPr>
          <w:p>
            <w:r>
              <w:rPr>
                <w:rFonts w:ascii="Times New Roman" w:hAnsi="Times New Roman"/>
                <w:sz w:val="20"/>
              </w:rPr>
              <w:t>90 TEUR</w:t>
            </w:r>
          </w:p>
        </w:tc>
        <w:tc>
          <w:tcPr>
            <w:tcW w:type="dxa" w:w="3024"/>
          </w:tcPr>
          <w:p>
            <w:r>
              <w:rPr>
                <w:rFonts w:ascii="Times New Roman" w:hAnsi="Times New Roman"/>
                <w:sz w:val="20"/>
              </w:rPr>
              <w:t>Schätzung Auktionshaus</w:t>
            </w:r>
          </w:p>
        </w:tc>
      </w:tr>
      <w:tr>
        <w:tc>
          <w:tcPr>
            <w:tcW w:type="dxa" w:w="3024"/>
          </w:tcPr>
          <w:p>
            <w:r>
              <w:rPr>
                <w:rFonts w:ascii="Times New Roman" w:hAnsi="Times New Roman"/>
                <w:sz w:val="20"/>
              </w:rPr>
              <w:t>Verbindlichkeiten (Steuern, Pflege)</w:t>
            </w:r>
          </w:p>
        </w:tc>
        <w:tc>
          <w:tcPr>
            <w:tcW w:type="dxa" w:w="3024"/>
          </w:tcPr>
          <w:p>
            <w:r>
              <w:rPr>
                <w:rFonts w:ascii="Times New Roman" w:hAnsi="Times New Roman"/>
                <w:sz w:val="20"/>
              </w:rPr>
              <w:t>−78 TEUR</w:t>
            </w:r>
          </w:p>
        </w:tc>
        <w:tc>
          <w:tcPr>
            <w:tcW w:type="dxa" w:w="3024"/>
          </w:tcPr>
          <w:p>
            <w:r>
              <w:rPr>
                <w:rFonts w:ascii="Times New Roman" w:hAnsi="Times New Roman"/>
                <w:sz w:val="20"/>
              </w:rPr>
              <w:t>laut Constantin, nicht verifiziert</w:t>
            </w:r>
          </w:p>
        </w:tc>
      </w:tr>
    </w:tbl>
    <w:p>
      <w:pPr>
        <w:jc w:val="left"/>
      </w:pPr>
      <w:r>
        <w:rPr>
          <w:b/>
        </w:rPr>
        <w:t>Hinweis Mandantin:</w:t>
      </w:r>
      <w:r>
        <w:t xml:space="preserve"> Constantin hat ihr gegenüber erklärt, er habe in den Jahren 2021–2023 „gemeinsam mit Vater" Krypto-Bestände in das Multisig-Wallet eingebracht; er halte einen von fünf Schlüsseln. Sie hat keine eigenen Kenntnisse zur Wallet-Struktur.</w:t>
      </w:r>
    </w:p>
    <w:p>
      <w:pPr>
        <w:pStyle w:val="Heading3"/>
      </w:pPr>
      <w:r>
        <w:rPr>
          <w:rFonts w:ascii="Times New Roman" w:hAnsi="Times New Roman"/>
        </w:rPr>
        <w:t>2.5 Schenkungshistorie (vorläufig bekannt)</w:t>
      </w:r>
    </w:p>
    <w:p>
      <w:pPr>
        <w:pStyle w:val="ListBullet"/>
      </w:pPr>
      <w:r>
        <w:t>Henrike selbst: Eigentumswohnung in Konstanz, übertragen 2018, damaliger Wert ca. 320 TEUR.</w:t>
      </w:r>
    </w:p>
    <w:p>
      <w:pPr>
        <w:pStyle w:val="ListBullet"/>
      </w:pPr>
      <w:r>
        <w:t>Constantin: Schenkungen in drei Tranchen 2020, 2022, 2023 über insgesamt 380 TEUR (belegt durch Überweisungsbelege, die Constantin ihr gezeigt hat). Darüber hinaus mutmaßliche Krypto-Einlagen.</w:t>
      </w:r>
    </w:p>
    <w:p>
      <w:pPr>
        <w:pStyle w:val="ListBullet"/>
      </w:pPr>
      <w:r>
        <w:t>Marie-Theres: Verzicht 2020 gegen Abstandszahlung 40 TEUR.</w:t>
      </w:r>
    </w:p>
    <w:p>
      <w:pPr>
        <w:pStyle w:val="Heading3"/>
      </w:pPr>
      <w:r>
        <w:rPr>
          <w:rFonts w:ascii="Times New Roman" w:hAnsi="Times New Roman"/>
        </w:rPr>
        <w:t>2.6 Aktueller Konflikt</w:t>
      </w:r>
    </w:p>
    <w:p>
      <w:pPr>
        <w:jc w:val="left"/>
      </w:pPr>
      <w:r>
        <w:t>Constantin hat laut Henrike am 29.04.2025 gegenüber dem Nachlassgericht Stuttgart die Erbschaft ausgeschlagen — vorsorglich „für den Fall, dass Schenkungen zur Pflichtteilsergänzung herangezogen werden". Er hat ihr per Signal mitgeteilt, er sehe seine Krypto-Position als außerhalb des Nachlasses stehend und werde die beiden verfügbaren Schlüssel nutzen, um auf die Wallet zuzugreifen. Er warte nur auf Öffnung des Bankschließfachs oder auf Kooperation Marlies.</w:t>
      </w:r>
    </w:p>
    <w:p>
      <w:pPr>
        <w:jc w:val="left"/>
      </w:pPr>
      <w:r>
        <w:t>Marlies lebt weiterhin im Haus. Ihr Anwalt RA Strecker aus Stuttgart-Mitte hat sich noch nicht schriftlich gemeldet, aber per Telefon mitgeteilt, Marlies wolle das Wohnrecht unbedingt durchsetzen und ggf. auch ihren Vorausteil nach Paragraf 1932 BGB verlangen.</w:t>
      </w:r>
    </w:p>
    <w:p>
      <w:pPr>
        <w:pStyle w:val="Heading3"/>
      </w:pPr>
      <w:r>
        <w:rPr>
          <w:rFonts w:ascii="Times New Roman" w:hAnsi="Times New Roman"/>
        </w:rPr>
        <w:t>2.7 Mandantenziel</w:t>
      </w:r>
    </w:p>
    <w:p>
      <w:pPr>
        <w:jc w:val="left"/>
      </w:pPr>
      <w:r>
        <w:t>Henrike formuliert folgende Ziele:</w:t>
      </w:r>
    </w:p>
    <w:p>
      <w:pPr>
        <w:pStyle w:val="ListNumber"/>
      </w:pPr>
      <w:r>
        <w:t>Sofortige Sicherung der Krypto-Assets gegen eigenständigen Zugriff Constantins (Sicherungsmaßnahme).</w:t>
      </w:r>
    </w:p>
    <w:p>
      <w:pPr>
        <w:pStyle w:val="ListNumber"/>
      </w:pPr>
      <w:r>
        <w:t>Erbschein möglichst rasch, da ihre Eigentumswohnung in Konstanz (übertragen 2018 als Schenkung, noch hypothekarisch belastet) nachfinanziert werden muss — die Bank hat eine aktuelle Erbbestätigung angefordert, weil Edelmann Bürge war.</w:t>
      </w:r>
    </w:p>
    <w:p>
      <w:pPr>
        <w:pStyle w:val="ListNumber"/>
      </w:pPr>
      <w:r>
        <w:t>Klärung, ob ihr Pflichtteilsergänzungsanspruch wegen der Schenkungen an Constantin besteht.</w:t>
      </w:r>
    </w:p>
    <w:p>
      <w:pPr>
        <w:pStyle w:val="ListNumber"/>
      </w:pPr>
      <w:r>
        <w:t>Falls Constantin nach Ausschlagung kein Erbe ist: Wie ändern sich die Quoten?</w:t>
      </w:r>
    </w:p>
    <w:p>
      <w:pPr>
        <w:pStyle w:val="ListNumber"/>
      </w:pPr>
      <w:r>
        <w:t>Mittel- bis langfristig: Haus veräußern oder zumindest Auseinandersetzung durchsetzen — sie hat keine Bindung an Stuttgart.</w:t>
      </w:r>
    </w:p>
    <w:p/>
    <w:p>
      <w:pPr>
        <w:pStyle w:val="Heading2"/>
      </w:pPr>
      <w:r>
        <w:rPr>
          <w:rFonts w:ascii="Times New Roman" w:hAnsi="Times New Roman"/>
        </w:rPr>
        <w:t>3. Fristen und Sofortmaßnahmen</w:t>
      </w:r>
    </w:p>
    <w:p>
      <w:pPr>
        <w:pStyle w:val="Heading3"/>
      </w:pPr>
      <w:r>
        <w:rPr>
          <w:rFonts w:ascii="Times New Roman" w:hAnsi="Times New Roman"/>
        </w:rPr>
        <w:t>3.1 Ausschlagungsfrist Henrike</w:t>
      </w:r>
    </w:p>
    <w:p>
      <w:pPr>
        <w:jc w:val="left"/>
      </w:pPr>
      <w:r>
        <w:t>Die Ausschlagungsfrist läuft ab Kenntnis des Erbfalls. Henrike hat vom Tod am 12.03.2025 erfahren; Fristende gem. Paragraf 1944 Abs. 1 BGB: 12.05.2025.</w:t>
      </w:r>
    </w:p>
    <w:p>
      <w:pPr>
        <w:jc w:val="left"/>
      </w:pPr>
      <w:r>
        <w:rPr>
          <w:b/>
        </w:rPr>
        <w:t>Empfehlung:</w:t>
      </w:r>
      <w:r>
        <w:t xml:space="preserve"> Frist nicht verstreichen lassen ohne aktive Entscheidung. Ausschlagung hier nicht sinnvoll (Nachlassaktiva überwiegen Passiva deutlich), aber Entscheidung muss dokumentiert werden. Fristerstreckungsantrag nicht nötig.</w:t>
      </w:r>
    </w:p>
    <w:p>
      <w:pPr>
        <w:pStyle w:val="Heading3"/>
      </w:pPr>
      <w:r>
        <w:rPr>
          <w:rFonts w:ascii="Times New Roman" w:hAnsi="Times New Roman"/>
        </w:rPr>
        <w:t>3.2 Anfechtung Pflichtteilsverzicht Marie-Theres</w:t>
      </w:r>
    </w:p>
    <w:p>
      <w:pPr>
        <w:jc w:val="left"/>
      </w:pPr>
      <w:r>
        <w:t>Ob Marie-Theres die Anfechtung des Verzichtsvertrags von 2020 ernsthaft betreibt, ist unklar. Die Anfechtungsfrist nach Paragraf 2083 BGB analog iVm Paragrafen 119, 121 BGB bzw. nach der ständigen Rspr. zur Geschäftsgrundlage (Paragraf 313 BGB) läuft nicht kurzfristig ab; keine unmittelbare Fristenproblematik. Gleichwohl sollte der Vertrag sofort angefordert werden.</w:t>
      </w:r>
    </w:p>
    <w:p>
      <w:pPr>
        <w:pStyle w:val="Heading3"/>
      </w:pPr>
      <w:r>
        <w:rPr>
          <w:rFonts w:ascii="Times New Roman" w:hAnsi="Times New Roman"/>
        </w:rPr>
        <w:t>3.3 Pflichtteilsverjährung</w:t>
      </w:r>
    </w:p>
    <w:p>
      <w:pPr>
        <w:jc w:val="left"/>
      </w:pPr>
      <w:r>
        <w:t>Pflichtteilsansprüche verjähren gem. Paragraf 2332 BGB in drei Jahren ab Kenntnis von Erbfall und Pflichtteilsbeeinträchtigung. Frist beginnt frühestens 12.03.2025; Ablauf: 12.03.2028. Reichlich Zeit, aber Hemmungsrisiken im Blick behalten.</w:t>
      </w:r>
    </w:p>
    <w:p>
      <w:pPr>
        <w:pStyle w:val="Heading3"/>
      </w:pPr>
      <w:r>
        <w:rPr>
          <w:rFonts w:ascii="Times New Roman" w:hAnsi="Times New Roman"/>
        </w:rPr>
        <w:t>3.4 Sofortmaßnahmen Krypto</w:t>
      </w:r>
    </w:p>
    <w:p>
      <w:pPr>
        <w:jc w:val="left"/>
      </w:pPr>
      <w:r>
        <w:t>Mündliche Empfehlung an Henrike noch im Gespräch: Sie soll Constantin unmissverständlich schriftlich (per E-Mail und Einschreiben) mitteilen, dass jeder Zugriff auf die Wallet ohne einstimmigen Beschluss der Erbengemeinschaft einen Eingriff in Gesamthandsrechte darstellt und zivilrechtliche und ggf. strafrechtliche Konsequenzen haben kann. Kanzlei wird Entwurf eines entsprechenden Sicherungsschreibens fertigen.</w:t>
      </w:r>
    </w:p>
    <w:p>
      <w:pPr>
        <w:jc w:val="left"/>
      </w:pPr>
      <w:r>
        <w:t>Außerdem: Antrag auf Anordnung einer Nachlassverwaltung oder Sicherungsanordnung beim Nachlassgericht Stuttgart prüfen (Paragrafen 1960, 1961 BGB, Paragraf 1985 BGB).</w:t>
      </w:r>
    </w:p>
    <w:p>
      <w:pPr>
        <w:pStyle w:val="Heading3"/>
      </w:pPr>
      <w:r>
        <w:rPr>
          <w:rFonts w:ascii="Times New Roman" w:hAnsi="Times New Roman"/>
        </w:rPr>
        <w:t>3.5 Testament und Testamentsvollstrecker</w:t>
      </w:r>
    </w:p>
    <w:p>
      <w:pPr>
        <w:jc w:val="left"/>
      </w:pPr>
      <w:r>
        <w:t>Das Originaltestament muss beim Nachlassgericht Stuttgart (AG Stuttgart, Abt. 24 — Nachlassgericht) eröffnet werden. Henrike wird gebeten, das Original zu beschaffen und unverzüglich beim Gericht einzureichen; alternativ wird die Kanzlei einen Antrag auf Herausgabe stellen. Der im Testament genannte Testamentsvollstrecker RA Trotz ist 2023 verstorben; Ersatzbenennung fehlt.</w:t>
      </w:r>
    </w:p>
    <w:p/>
    <w:p>
      <w:pPr>
        <w:pStyle w:val="Heading2"/>
      </w:pPr>
      <w:r>
        <w:rPr>
          <w:rFonts w:ascii="Times New Roman" w:hAnsi="Times New Roman"/>
        </w:rPr>
        <w:t>4. Vergütung und weitere Schritte</w:t>
      </w:r>
    </w:p>
    <w:p>
      <w:pPr>
        <w:jc w:val="left"/>
      </w:pPr>
      <w:r>
        <w:t>Vergütungsvereinbarung nach RVG mit Streitwertbasis (Paragraf 23 RVG, Paragraf 6 Abs. 1 GNotKG analog); vorläufiger Gegenstandswert: 1.350.000 EUR (Henrüke Anteil an Nachlassaktivia). Vorschuss 5.000 EUR vereinbart; Rechnung wird zeitnah übersandt.</w:t>
      </w:r>
    </w:p>
    <w:p>
      <w:pPr>
        <w:jc w:val="left"/>
      </w:pPr>
      <w:r>
        <w:rPr>
          <w:b/>
        </w:rPr>
        <w:t>Nächste Schritte Kanzlei:</w:t>
      </w:r>
    </w:p>
    <w:p>
      <w:pPr>
        <w:pStyle w:val="ListBullet"/>
      </w:pPr>
      <w:r>
        <w:t>Sicherungsschreiben an Constantin (morgen, 23.04.2025)</w:t>
      </w:r>
    </w:p>
    <w:p>
      <w:pPr>
        <w:pStyle w:val="ListBullet"/>
      </w:pPr>
      <w:r>
        <w:t>Anforderung Testamentsoriginal bei Marlies, nachrichtlich Nachlassgericht Stuttgart</w:t>
      </w:r>
    </w:p>
    <w:p>
      <w:pPr>
        <w:pStyle w:val="ListBullet"/>
      </w:pPr>
      <w:r>
        <w:t>Beschaffung Notarvermerk Welz (14.06.2023)</w:t>
      </w:r>
    </w:p>
    <w:p>
      <w:pPr>
        <w:pStyle w:val="ListBullet"/>
      </w:pPr>
      <w:r>
        <w:t>Kontenabfrage bei Bankhaus Lampe-Hauck via Vollmacht</w:t>
      </w:r>
    </w:p>
    <w:p>
      <w:pPr>
        <w:pStyle w:val="ListBullet"/>
      </w:pPr>
      <w:r>
        <w:t>Überprüfung Schließfachzugang Volksbank Esslingen</w:t>
      </w:r>
    </w:p>
    <w:p>
      <w:pPr>
        <w:pStyle w:val="ListBullet"/>
      </w:pPr>
      <w:r>
        <w:t>Anfrage Anwaltskammer BW zu Kanzleinachlass RA Trotz</w:t>
      </w:r>
    </w:p>
    <w:p>
      <w:pPr>
        <w:jc w:val="left"/>
      </w:pPr>
      <w:r>
        <w:rPr>
          <w:b/>
        </w:rPr>
        <w:t>Nächster Termin:</w:t>
      </w:r>
      <w:r>
        <w:t xml:space="preserve"> Telefonkonferenz 06.05.2025, 10:00 Uhr.</w:t>
      </w:r>
    </w:p>
    <w:p/>
    <w:p>
      <w:pPr>
        <w:jc w:val="left"/>
      </w:pPr>
      <w:r>
        <w:rPr>
          <w:i/>
        </w:rPr>
        <w:t>Protokoll: Ref. Maximilian-Klara Fust / Endredaktion RAin Steinkamp</w:t>
      </w:r>
    </w:p>
    <w:p>
      <w:pPr>
        <w:jc w:val="left"/>
      </w:pPr>
      <w:r>
        <w:rPr>
          <w:i/>
        </w:rPr>
        <w:t>Datum: 22.04.2025</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