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Familienkonstellation und Vermögenschronologie — Edelmann</w:t>
      </w:r>
    </w:p>
    <w:p>
      <w:pPr>
        <w:jc w:val="left"/>
      </w:pPr>
      <w:r>
        <w:rPr>
          <w:b/>
        </w:rPr>
        <w:t>Az.:</w:t>
      </w:r>
      <w:r>
        <w:t xml:space="preserve"> KlKette 025/0422-ERB-EDE</w:t>
      </w:r>
    </w:p>
    <w:p>
      <w:pPr>
        <w:jc w:val="left"/>
      </w:pPr>
      <w:r>
        <w:rPr>
          <w:b/>
        </w:rPr>
        <w:t>Stand:</w:t>
      </w:r>
      <w:r>
        <w:t xml:space="preserve"> 06.05.2025</w:t>
      </w:r>
    </w:p>
    <w:p/>
    <w:p>
      <w:pPr>
        <w:pStyle w:val="Heading2"/>
      </w:pPr>
      <w:r>
        <w:rPr>
          <w:rFonts w:ascii="Times New Roman" w:hAnsi="Times New Roman"/>
        </w:rPr>
        <w:t>1. Stammbaum</w:t>
      </w:r>
    </w:p>
    <w:p>
      <w:pPr>
        <w:jc w:val="left"/>
      </w:pPr>
      <w:r>
        <w:t>```</w:t>
      </w:r>
    </w:p>
    <w:p>
      <w:pPr>
        <w:jc w:val="left"/>
      </w:pPr>
      <w:r>
        <w:t>Prof. Dr. Reinhard Edelmann (03.02.1947 – 12.03.2025)</w:t>
      </w:r>
    </w:p>
    <w:p>
      <w:pPr>
        <w:jc w:val="left"/>
      </w:pPr>
      <w:r>
        <w:t>│</w:t>
      </w:r>
    </w:p>
    <w:p>
      <w:pPr>
        <w:jc w:val="left"/>
      </w:pPr>
      <w:r>
        <w:t>├─── [1. Ehe 1970–1994, geschieden] Dagmar Schneewind-Edelmann (geb. 1948)</w:t>
      </w:r>
    </w:p>
    <w:p>
      <w:pPr>
        <w:jc w:val="left"/>
      </w:pPr>
      <w:r>
        <w:t>│    │</w:t>
      </w:r>
    </w:p>
    <w:p>
      <w:pPr>
        <w:jc w:val="left"/>
      </w:pPr>
      <w:r>
        <w:t>│    ├─── Dr. Henrike Edelmann (geb. 17.09.1973, Konstanz)</w:t>
      </w:r>
    </w:p>
    <w:p>
      <w:pPr>
        <w:jc w:val="left"/>
      </w:pPr>
      <w:r>
        <w:t>│    │    Internistin. Geschieden. Sohn Lukas (geb. 2001). Mandantin.</w:t>
      </w:r>
    </w:p>
    <w:p>
      <w:pPr>
        <w:jc w:val="left"/>
      </w:pPr>
      <w:r>
        <w:t>│    │    Schenkung 2018: ETW Konstanz (ca. 320 TEUR).</w:t>
      </w:r>
    </w:p>
    <w:p>
      <w:pPr>
        <w:jc w:val="left"/>
      </w:pPr>
      <w:r>
        <w:t>│    │</w:t>
      </w:r>
    </w:p>
    <w:p>
      <w:pPr>
        <w:jc w:val="left"/>
      </w:pPr>
      <w:r>
        <w:t>│    └─── Constantin Edelmann (geb. 04.06.1976, Berlin)</w:t>
      </w:r>
    </w:p>
    <w:p>
      <w:pPr>
        <w:jc w:val="left"/>
      </w:pPr>
      <w:r>
        <w:t>│         Mathematiker, Krypto-Entwickler. Ledig. Keine Kinder.</w:t>
      </w:r>
    </w:p>
    <w:p>
      <w:pPr>
        <w:jc w:val="left"/>
      </w:pPr>
      <w:r>
        <w:t>│         Schenkungen 2020–2023: 380 TEUR + mutmaßliche Krypto-Einlagen.</w:t>
      </w:r>
    </w:p>
    <w:p>
      <w:pPr>
        <w:jc w:val="left"/>
      </w:pPr>
      <w:r>
        <w:t>│         Ausschlagung erklärt: 29.04.2025.</w:t>
      </w:r>
    </w:p>
    <w:p>
      <w:pPr>
        <w:jc w:val="left"/>
      </w:pPr>
      <w:r>
        <w:t>│</w:t>
      </w:r>
    </w:p>
    <w:p>
      <w:pPr>
        <w:jc w:val="left"/>
      </w:pPr>
      <w:r>
        <w:t>├─── [außerehelich, Vaterschaft anerkannt 1985] Dagmar Schneewind</w:t>
      </w:r>
    </w:p>
    <w:p>
      <w:pPr>
        <w:jc w:val="left"/>
      </w:pPr>
      <w:r>
        <w:t>│    │</w:t>
      </w:r>
    </w:p>
    <w:p>
      <w:pPr>
        <w:jc w:val="left"/>
      </w:pPr>
      <w:r>
        <w:t>│    └─── Marie-Theres Edelmann-Berlepsch (geb. 11.02.1984, Hamburg)</w:t>
      </w:r>
    </w:p>
    <w:p>
      <w:pPr>
        <w:jc w:val="left"/>
      </w:pPr>
      <w:r>
        <w:t>│         Galeristin. Verheiratet mit August Berlepsch. Keine Kinder.</w:t>
      </w:r>
    </w:p>
    <w:p>
      <w:pPr>
        <w:jc w:val="left"/>
      </w:pPr>
      <w:r>
        <w:t>│         Pflichtteilsverzicht 2020 gegen 40 TEUR; droht Anfechtung.</w:t>
      </w:r>
    </w:p>
    <w:p>
      <w:pPr>
        <w:jc w:val="left"/>
      </w:pPr>
      <w:r>
        <w:t>│</w:t>
      </w:r>
    </w:p>
    <w:p>
      <w:pPr>
        <w:jc w:val="left"/>
      </w:pPr>
      <w:r>
        <w:t>└─── [2. Ehe seit 12.10.2014] Marlies Edelmann-Praun (geb. 09.03.1964, Stuttgart)</w:t>
      </w:r>
    </w:p>
    <w:p>
      <w:pPr>
        <w:jc w:val="left"/>
      </w:pPr>
      <w:r>
        <w:t>Keine gemeinsamen Kinder. Ehegüterstand: Zugewinngemeinschaft.</w:t>
      </w:r>
    </w:p>
    <w:p>
      <w:pPr>
        <w:jc w:val="left"/>
      </w:pPr>
      <w:r>
        <w:t>Lebensversicherungsbegünstigte: 230 TEUR.</w:t>
      </w:r>
    </w:p>
    <w:p>
      <w:pPr>
        <w:jc w:val="left"/>
      </w:pPr>
      <w:r>
        <w:t>Wohnrecht (Vorausvermächtnis laut Testament 2019).</w:t>
      </w:r>
    </w:p>
    <w:p>
      <w:pPr>
        <w:jc w:val="left"/>
      </w:pPr>
      <w:r>
        <w:t>```</w:t>
      </w:r>
    </w:p>
    <w:p>
      <w:pPr>
        <w:jc w:val="left"/>
      </w:pPr>
      <w:r>
        <w:rPr>
          <w:b/>
        </w:rPr>
        <w:t>Gesetzliche Erbfolge (ohne Testament):</w:t>
      </w:r>
      <w:r>
        <w:t xml:space="preserve"> Marlies als Ehefrau (Paragraf 1931 BGB Zugewinngemeinschaft: 1/2) + die drei Kinder (Paragraf 1924 BGB, zusammen 1/2, d. h. je 1/6). Testament setzt je 1/4 fest; damit ist Marlies durch Testament leicht schlechtergestellt als bei gesetzlicher Erbfolge, die Kinder sind bessergestellt.</w:t>
      </w:r>
    </w:p>
    <w:p/>
    <w:p>
      <w:pPr>
        <w:pStyle w:val="Heading2"/>
      </w:pPr>
      <w:r>
        <w:rPr>
          <w:rFonts w:ascii="Times New Roman" w:hAnsi="Times New Roman"/>
        </w:rPr>
        <w:t>2. Chronologie der wesentlichen Ereignisse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Ereignis</w:t>
            </w:r>
          </w:p>
        </w:tc>
        <w:tc>
          <w:tcPr>
            <w:tcW w:type="dxa" w:w="3024"/>
          </w:tcPr>
          <w:p>
            <w:r>
              <w:rPr>
                <w:rFonts w:ascii="Times New Roman" w:hAnsi="Times New Roman"/>
                <w:b/>
                <w:sz w:val="20"/>
              </w:rPr>
              <w:t>Aktenstück</w:t>
            </w:r>
          </w:p>
        </w:tc>
      </w:tr>
      <w:tr>
        <w:tc>
          <w:tcPr>
            <w:tcW w:type="dxa" w:w="3024"/>
          </w:tcPr>
          <w:p>
            <w:r>
              <w:rPr>
                <w:rFonts w:ascii="Times New Roman" w:hAnsi="Times New Roman"/>
                <w:sz w:val="20"/>
              </w:rPr>
              <w:t>1947</w:t>
            </w:r>
          </w:p>
        </w:tc>
        <w:tc>
          <w:tcPr>
            <w:tcW w:type="dxa" w:w="3024"/>
          </w:tcPr>
          <w:p>
            <w:r>
              <w:rPr>
                <w:rFonts w:ascii="Times New Roman" w:hAnsi="Times New Roman"/>
                <w:sz w:val="20"/>
              </w:rPr>
              <w:t>Geburt Reinhard Edelmann</w:t>
            </w:r>
          </w:p>
        </w:tc>
        <w:tc>
          <w:tcPr>
            <w:tcW w:type="dxa" w:w="3024"/>
          </w:tcPr>
          <w:p>
            <w:r>
              <w:rPr>
                <w:rFonts w:ascii="Times New Roman" w:hAnsi="Times New Roman"/>
                <w:sz w:val="20"/>
              </w:rPr>
              <w:t>—</w:t>
            </w:r>
          </w:p>
        </w:tc>
      </w:tr>
      <w:tr>
        <w:tc>
          <w:tcPr>
            <w:tcW w:type="dxa" w:w="3024"/>
          </w:tcPr>
          <w:p>
            <w:r>
              <w:rPr>
                <w:rFonts w:ascii="Times New Roman" w:hAnsi="Times New Roman"/>
                <w:sz w:val="20"/>
              </w:rPr>
              <w:t>1970</w:t>
            </w:r>
          </w:p>
        </w:tc>
        <w:tc>
          <w:tcPr>
            <w:tcW w:type="dxa" w:w="3024"/>
          </w:tcPr>
          <w:p>
            <w:r>
              <w:rPr>
                <w:rFonts w:ascii="Times New Roman" w:hAnsi="Times New Roman"/>
                <w:sz w:val="20"/>
              </w:rPr>
              <w:t>Heirat Dagmar Schneewind</w:t>
            </w:r>
          </w:p>
        </w:tc>
        <w:tc>
          <w:tcPr>
            <w:tcW w:type="dxa" w:w="3024"/>
          </w:tcPr>
          <w:p>
            <w:r>
              <w:rPr>
                <w:rFonts w:ascii="Times New Roman" w:hAnsi="Times New Roman"/>
                <w:sz w:val="20"/>
              </w:rPr>
              <w:t>—</w:t>
            </w:r>
          </w:p>
        </w:tc>
      </w:tr>
      <w:tr>
        <w:tc>
          <w:tcPr>
            <w:tcW w:type="dxa" w:w="3024"/>
          </w:tcPr>
          <w:p>
            <w:r>
              <w:rPr>
                <w:rFonts w:ascii="Times New Roman" w:hAnsi="Times New Roman"/>
                <w:sz w:val="20"/>
              </w:rPr>
              <w:t>1973</w:t>
            </w:r>
          </w:p>
        </w:tc>
        <w:tc>
          <w:tcPr>
            <w:tcW w:type="dxa" w:w="3024"/>
          </w:tcPr>
          <w:p>
            <w:r>
              <w:rPr>
                <w:rFonts w:ascii="Times New Roman" w:hAnsi="Times New Roman"/>
                <w:sz w:val="20"/>
              </w:rPr>
              <w:t>Geburt Tochter Henrike</w:t>
            </w:r>
          </w:p>
        </w:tc>
        <w:tc>
          <w:tcPr>
            <w:tcW w:type="dxa" w:w="3024"/>
          </w:tcPr>
          <w:p>
            <w:r>
              <w:rPr>
                <w:rFonts w:ascii="Times New Roman" w:hAnsi="Times New Roman"/>
                <w:sz w:val="20"/>
              </w:rPr>
              <w:t>—</w:t>
            </w:r>
          </w:p>
        </w:tc>
      </w:tr>
      <w:tr>
        <w:tc>
          <w:tcPr>
            <w:tcW w:type="dxa" w:w="3024"/>
          </w:tcPr>
          <w:p>
            <w:r>
              <w:rPr>
                <w:rFonts w:ascii="Times New Roman" w:hAnsi="Times New Roman"/>
                <w:sz w:val="20"/>
              </w:rPr>
              <w:t>1976</w:t>
            </w:r>
          </w:p>
        </w:tc>
        <w:tc>
          <w:tcPr>
            <w:tcW w:type="dxa" w:w="3024"/>
          </w:tcPr>
          <w:p>
            <w:r>
              <w:rPr>
                <w:rFonts w:ascii="Times New Roman" w:hAnsi="Times New Roman"/>
                <w:sz w:val="20"/>
              </w:rPr>
              <w:t>Geburt Sohn Constantin</w:t>
            </w:r>
          </w:p>
        </w:tc>
        <w:tc>
          <w:tcPr>
            <w:tcW w:type="dxa" w:w="3024"/>
          </w:tcPr>
          <w:p>
            <w:r>
              <w:rPr>
                <w:rFonts w:ascii="Times New Roman" w:hAnsi="Times New Roman"/>
                <w:sz w:val="20"/>
              </w:rPr>
              <w:t>—</w:t>
            </w:r>
          </w:p>
        </w:tc>
      </w:tr>
      <w:tr>
        <w:tc>
          <w:tcPr>
            <w:tcW w:type="dxa" w:w="3024"/>
          </w:tcPr>
          <w:p>
            <w:r>
              <w:rPr>
                <w:rFonts w:ascii="Times New Roman" w:hAnsi="Times New Roman"/>
                <w:sz w:val="20"/>
              </w:rPr>
              <w:t>1984</w:t>
            </w:r>
          </w:p>
        </w:tc>
        <w:tc>
          <w:tcPr>
            <w:tcW w:type="dxa" w:w="3024"/>
          </w:tcPr>
          <w:p>
            <w:r>
              <w:rPr>
                <w:rFonts w:ascii="Times New Roman" w:hAnsi="Times New Roman"/>
                <w:sz w:val="20"/>
              </w:rPr>
              <w:t>Geburt Marie-Theres (außerehelich, anerkannt 1985)</w:t>
            </w:r>
          </w:p>
        </w:tc>
        <w:tc>
          <w:tcPr>
            <w:tcW w:type="dxa" w:w="3024"/>
          </w:tcPr>
          <w:p>
            <w:r>
              <w:rPr>
                <w:rFonts w:ascii="Times New Roman" w:hAnsi="Times New Roman"/>
                <w:sz w:val="20"/>
              </w:rPr>
              <w:t>—</w:t>
            </w:r>
          </w:p>
        </w:tc>
      </w:tr>
      <w:tr>
        <w:tc>
          <w:tcPr>
            <w:tcW w:type="dxa" w:w="3024"/>
          </w:tcPr>
          <w:p>
            <w:r>
              <w:rPr>
                <w:rFonts w:ascii="Times New Roman" w:hAnsi="Times New Roman"/>
                <w:sz w:val="20"/>
              </w:rPr>
              <w:t>1994</w:t>
            </w:r>
          </w:p>
        </w:tc>
        <w:tc>
          <w:tcPr>
            <w:tcW w:type="dxa" w:w="3024"/>
          </w:tcPr>
          <w:p>
            <w:r>
              <w:rPr>
                <w:rFonts w:ascii="Times New Roman" w:hAnsi="Times New Roman"/>
                <w:sz w:val="20"/>
              </w:rPr>
              <w:t>Scheidung Edelmann/Schneewind</w:t>
            </w:r>
          </w:p>
        </w:tc>
        <w:tc>
          <w:tcPr>
            <w:tcW w:type="dxa" w:w="3024"/>
          </w:tcPr>
          <w:p>
            <w:r>
              <w:rPr>
                <w:rFonts w:ascii="Times New Roman" w:hAnsi="Times New Roman"/>
                <w:sz w:val="20"/>
              </w:rPr>
              <w:t>—</w:t>
            </w:r>
          </w:p>
        </w:tc>
      </w:tr>
      <w:tr>
        <w:tc>
          <w:tcPr>
            <w:tcW w:type="dxa" w:w="3024"/>
          </w:tcPr>
          <w:p>
            <w:r>
              <w:rPr>
                <w:rFonts w:ascii="Times New Roman" w:hAnsi="Times New Roman"/>
                <w:sz w:val="20"/>
              </w:rPr>
              <w:t>ca. 2004</w:t>
            </w:r>
          </w:p>
        </w:tc>
        <w:tc>
          <w:tcPr>
            <w:tcW w:type="dxa" w:w="3024"/>
          </w:tcPr>
          <w:p>
            <w:r>
              <w:rPr>
                <w:rFonts w:ascii="Times New Roman" w:hAnsi="Times New Roman"/>
                <w:sz w:val="20"/>
              </w:rPr>
              <w:t>Edelmann erwirbt Haus Sonnenbergstraße 38a</w:t>
            </w:r>
          </w:p>
        </w:tc>
        <w:tc>
          <w:tcPr>
            <w:tcW w:type="dxa" w:w="3024"/>
          </w:tcPr>
          <w:p>
            <w:r>
              <w:rPr>
                <w:rFonts w:ascii="Times New Roman" w:hAnsi="Times New Roman"/>
                <w:sz w:val="20"/>
              </w:rPr>
              <w:t>—</w:t>
            </w:r>
          </w:p>
        </w:tc>
      </w:tr>
      <w:tr>
        <w:tc>
          <w:tcPr>
            <w:tcW w:type="dxa" w:w="3024"/>
          </w:tcPr>
          <w:p>
            <w:r>
              <w:rPr>
                <w:rFonts w:ascii="Times New Roman" w:hAnsi="Times New Roman"/>
                <w:sz w:val="20"/>
              </w:rPr>
              <w:t>12.10.2014</w:t>
            </w:r>
          </w:p>
        </w:tc>
        <w:tc>
          <w:tcPr>
            <w:tcW w:type="dxa" w:w="3024"/>
          </w:tcPr>
          <w:p>
            <w:r>
              <w:rPr>
                <w:rFonts w:ascii="Times New Roman" w:hAnsi="Times New Roman"/>
                <w:sz w:val="20"/>
              </w:rPr>
              <w:t>Heirat Marlies Praun</w:t>
            </w:r>
          </w:p>
        </w:tc>
        <w:tc>
          <w:tcPr>
            <w:tcW w:type="dxa" w:w="3024"/>
          </w:tcPr>
          <w:p>
            <w:r>
              <w:rPr>
                <w:rFonts w:ascii="Times New Roman" w:hAnsi="Times New Roman"/>
                <w:sz w:val="20"/>
              </w:rPr>
              <w:t>—</w:t>
            </w:r>
          </w:p>
        </w:tc>
      </w:tr>
      <w:tr>
        <w:tc>
          <w:tcPr>
            <w:tcW w:type="dxa" w:w="3024"/>
          </w:tcPr>
          <w:p>
            <w:r>
              <w:rPr>
                <w:rFonts w:ascii="Times New Roman" w:hAnsi="Times New Roman"/>
                <w:sz w:val="20"/>
              </w:rPr>
              <w:t>2014</w:t>
            </w:r>
          </w:p>
        </w:tc>
        <w:tc>
          <w:tcPr>
            <w:tcW w:type="dxa" w:w="3024"/>
          </w:tcPr>
          <w:p>
            <w:r>
              <w:rPr>
                <w:rFonts w:ascii="Times New Roman" w:hAnsi="Times New Roman"/>
                <w:sz w:val="20"/>
              </w:rPr>
              <w:t>Emeritierung Universität Stuttgart-Hohenheim</w:t>
            </w:r>
          </w:p>
        </w:tc>
        <w:tc>
          <w:tcPr>
            <w:tcW w:type="dxa" w:w="3024"/>
          </w:tcPr>
          <w:p>
            <w:r>
              <w:rPr>
                <w:rFonts w:ascii="Times New Roman" w:hAnsi="Times New Roman"/>
                <w:sz w:val="20"/>
              </w:rPr>
              <w:t>—</w:t>
            </w:r>
          </w:p>
        </w:tc>
      </w:tr>
      <w:tr>
        <w:tc>
          <w:tcPr>
            <w:tcW w:type="dxa" w:w="3024"/>
          </w:tcPr>
          <w:p>
            <w:r>
              <w:rPr>
                <w:rFonts w:ascii="Times New Roman" w:hAnsi="Times New Roman"/>
                <w:sz w:val="20"/>
              </w:rPr>
              <w:t>2017–2018</w:t>
            </w:r>
          </w:p>
        </w:tc>
        <w:tc>
          <w:tcPr>
            <w:tcW w:type="dxa" w:w="3024"/>
          </w:tcPr>
          <w:p>
            <w:r>
              <w:rPr>
                <w:rFonts w:ascii="Times New Roman" w:hAnsi="Times New Roman"/>
                <w:sz w:val="20"/>
              </w:rPr>
              <w:t>Edelmann beginnt aktiv BTC zu erwerben (laut Constantin)</w:t>
            </w:r>
          </w:p>
        </w:tc>
        <w:tc>
          <w:tcPr>
            <w:tcW w:type="dxa" w:w="3024"/>
          </w:tcPr>
          <w:p>
            <w:r>
              <w:rPr>
                <w:rFonts w:ascii="Times New Roman" w:hAnsi="Times New Roman"/>
                <w:sz w:val="20"/>
              </w:rPr>
              <w:t>08</w:t>
            </w:r>
          </w:p>
        </w:tc>
      </w:tr>
      <w:tr>
        <w:tc>
          <w:tcPr>
            <w:tcW w:type="dxa" w:w="3024"/>
          </w:tcPr>
          <w:p>
            <w:r>
              <w:rPr>
                <w:rFonts w:ascii="Times New Roman" w:hAnsi="Times New Roman"/>
                <w:sz w:val="20"/>
              </w:rPr>
              <w:t>Jan. 2018</w:t>
            </w:r>
          </w:p>
        </w:tc>
        <w:tc>
          <w:tcPr>
            <w:tcW w:type="dxa" w:w="3024"/>
          </w:tcPr>
          <w:p>
            <w:r>
              <w:rPr>
                <w:rFonts w:ascii="Times New Roman" w:hAnsi="Times New Roman"/>
                <w:sz w:val="20"/>
              </w:rPr>
              <w:t>Schenkung ETW Konstanz an Henrike, notariell beurkundet</w:t>
            </w:r>
          </w:p>
        </w:tc>
        <w:tc>
          <w:tcPr>
            <w:tcW w:type="dxa" w:w="3024"/>
          </w:tcPr>
          <w:p>
            <w:r>
              <w:rPr>
                <w:rFonts w:ascii="Times New Roman" w:hAnsi="Times New Roman"/>
                <w:sz w:val="20"/>
              </w:rPr>
              <w:t>10</w:t>
            </w:r>
          </w:p>
        </w:tc>
      </w:tr>
      <w:tr>
        <w:tc>
          <w:tcPr>
            <w:tcW w:type="dxa" w:w="3024"/>
          </w:tcPr>
          <w:p>
            <w:r>
              <w:rPr>
                <w:rFonts w:ascii="Times New Roman" w:hAnsi="Times New Roman"/>
                <w:sz w:val="20"/>
              </w:rPr>
              <w:t>2019</w:t>
            </w:r>
          </w:p>
        </w:tc>
        <w:tc>
          <w:tcPr>
            <w:tcW w:type="dxa" w:w="3024"/>
          </w:tcPr>
          <w:p>
            <w:r>
              <w:rPr>
                <w:rFonts w:ascii="Times New Roman" w:hAnsi="Times New Roman"/>
                <w:sz w:val="20"/>
              </w:rPr>
              <w:t>Edelmann und Constantin errichten gemeinsam 3-of-5-Multisig-Wallet (Datum laut Constantin: April 2019)</w:t>
            </w:r>
          </w:p>
        </w:tc>
        <w:tc>
          <w:tcPr>
            <w:tcW w:type="dxa" w:w="3024"/>
          </w:tcPr>
          <w:p>
            <w:r>
              <w:rPr>
                <w:rFonts w:ascii="Times New Roman" w:hAnsi="Times New Roman"/>
                <w:sz w:val="20"/>
              </w:rPr>
              <w:t>08</w:t>
            </w:r>
          </w:p>
        </w:tc>
      </w:tr>
      <w:tr>
        <w:tc>
          <w:tcPr>
            <w:tcW w:type="dxa" w:w="3024"/>
          </w:tcPr>
          <w:p>
            <w:r>
              <w:rPr>
                <w:rFonts w:ascii="Times New Roman" w:hAnsi="Times New Roman"/>
                <w:sz w:val="20"/>
              </w:rPr>
              <w:t>09.11.2019</w:t>
            </w:r>
          </w:p>
        </w:tc>
        <w:tc>
          <w:tcPr>
            <w:tcW w:type="dxa" w:w="3024"/>
          </w:tcPr>
          <w:p>
            <w:r>
              <w:rPr>
                <w:rFonts w:ascii="Times New Roman" w:hAnsi="Times New Roman"/>
                <w:sz w:val="20"/>
              </w:rPr>
              <w:t>Privatschriftliches Testament errichtet</w:t>
            </w:r>
          </w:p>
        </w:tc>
        <w:tc>
          <w:tcPr>
            <w:tcW w:type="dxa" w:w="3024"/>
          </w:tcPr>
          <w:p>
            <w:r>
              <w:rPr>
                <w:rFonts w:ascii="Times New Roman" w:hAnsi="Times New Roman"/>
                <w:sz w:val="20"/>
              </w:rPr>
              <w:t>03</w:t>
            </w:r>
          </w:p>
        </w:tc>
      </w:tr>
      <w:tr>
        <w:tc>
          <w:tcPr>
            <w:tcW w:type="dxa" w:w="3024"/>
          </w:tcPr>
          <w:p>
            <w:r>
              <w:rPr>
                <w:rFonts w:ascii="Times New Roman" w:hAnsi="Times New Roman"/>
                <w:sz w:val="20"/>
              </w:rPr>
              <w:t>Okt. 2020</w:t>
            </w:r>
          </w:p>
        </w:tc>
        <w:tc>
          <w:tcPr>
            <w:tcW w:type="dxa" w:w="3024"/>
          </w:tcPr>
          <w:p>
            <w:r>
              <w:rPr>
                <w:rFonts w:ascii="Times New Roman" w:hAnsi="Times New Roman"/>
                <w:sz w:val="20"/>
              </w:rPr>
              <w:t>Erste Schenkungstranche an Constantin: 120.000 EUR</w:t>
            </w:r>
          </w:p>
        </w:tc>
        <w:tc>
          <w:tcPr>
            <w:tcW w:type="dxa" w:w="3024"/>
          </w:tcPr>
          <w:p>
            <w:r>
              <w:rPr>
                <w:rFonts w:ascii="Times New Roman" w:hAnsi="Times New Roman"/>
                <w:sz w:val="20"/>
              </w:rPr>
              <w:t>10</w:t>
            </w:r>
          </w:p>
        </w:tc>
      </w:tr>
      <w:tr>
        <w:tc>
          <w:tcPr>
            <w:tcW w:type="dxa" w:w="3024"/>
          </w:tcPr>
          <w:p>
            <w:r>
              <w:rPr>
                <w:rFonts w:ascii="Times New Roman" w:hAnsi="Times New Roman"/>
                <w:sz w:val="20"/>
              </w:rPr>
              <w:t>Nov. 2020</w:t>
            </w:r>
          </w:p>
        </w:tc>
        <w:tc>
          <w:tcPr>
            <w:tcW w:type="dxa" w:w="3024"/>
          </w:tcPr>
          <w:p>
            <w:r>
              <w:rPr>
                <w:rFonts w:ascii="Times New Roman" w:hAnsi="Times New Roman"/>
                <w:sz w:val="20"/>
              </w:rPr>
              <w:t>Pflichtteilsverzicht Marie-Theres gegen 40 TEUR</w:t>
            </w:r>
          </w:p>
        </w:tc>
        <w:tc>
          <w:tcPr>
            <w:tcW w:type="dxa" w:w="3024"/>
          </w:tcPr>
          <w:p>
            <w:r>
              <w:rPr>
                <w:rFonts w:ascii="Times New Roman" w:hAnsi="Times New Roman"/>
                <w:sz w:val="20"/>
              </w:rPr>
              <w:t>13</w:t>
            </w:r>
          </w:p>
        </w:tc>
      </w:tr>
      <w:tr>
        <w:tc>
          <w:tcPr>
            <w:tcW w:type="dxa" w:w="3024"/>
          </w:tcPr>
          <w:p>
            <w:r>
              <w:rPr>
                <w:rFonts w:ascii="Times New Roman" w:hAnsi="Times New Roman"/>
                <w:sz w:val="20"/>
              </w:rPr>
              <w:t>Feb. 2021</w:t>
            </w:r>
          </w:p>
        </w:tc>
        <w:tc>
          <w:tcPr>
            <w:tcW w:type="dxa" w:w="3024"/>
          </w:tcPr>
          <w:p>
            <w:r>
              <w:rPr>
                <w:rFonts w:ascii="Times New Roman" w:hAnsi="Times New Roman"/>
                <w:sz w:val="20"/>
              </w:rPr>
              <w:t>Krypto-Zuteilung Constantin aus Wallet ca. 0,8 BTC (Wert ca. 35 TEUR zum Transaktionsdatum)</w:t>
            </w:r>
          </w:p>
        </w:tc>
        <w:tc>
          <w:tcPr>
            <w:tcW w:type="dxa" w:w="3024"/>
          </w:tcPr>
          <w:p>
            <w:r>
              <w:rPr>
                <w:rFonts w:ascii="Times New Roman" w:hAnsi="Times New Roman"/>
                <w:sz w:val="20"/>
              </w:rPr>
              <w:t>08, 10</w:t>
            </w:r>
          </w:p>
        </w:tc>
      </w:tr>
      <w:tr>
        <w:tc>
          <w:tcPr>
            <w:tcW w:type="dxa" w:w="3024"/>
          </w:tcPr>
          <w:p>
            <w:r>
              <w:rPr>
                <w:rFonts w:ascii="Times New Roman" w:hAnsi="Times New Roman"/>
                <w:sz w:val="20"/>
              </w:rPr>
              <w:t>Jun. 2022</w:t>
            </w:r>
          </w:p>
        </w:tc>
        <w:tc>
          <w:tcPr>
            <w:tcW w:type="dxa" w:w="3024"/>
          </w:tcPr>
          <w:p>
            <w:r>
              <w:rPr>
                <w:rFonts w:ascii="Times New Roman" w:hAnsi="Times New Roman"/>
                <w:sz w:val="20"/>
              </w:rPr>
              <w:t>Zweite Schenkungstranche an Constantin: 140.000 EUR</w:t>
            </w:r>
          </w:p>
        </w:tc>
        <w:tc>
          <w:tcPr>
            <w:tcW w:type="dxa" w:w="3024"/>
          </w:tcPr>
          <w:p>
            <w:r>
              <w:rPr>
                <w:rFonts w:ascii="Times New Roman" w:hAnsi="Times New Roman"/>
                <w:sz w:val="20"/>
              </w:rPr>
              <w:t>10</w:t>
            </w:r>
          </w:p>
        </w:tc>
      </w:tr>
      <w:tr>
        <w:tc>
          <w:tcPr>
            <w:tcW w:type="dxa" w:w="3024"/>
          </w:tcPr>
          <w:p>
            <w:r>
              <w:rPr>
                <w:rFonts w:ascii="Times New Roman" w:hAnsi="Times New Roman"/>
                <w:sz w:val="20"/>
              </w:rPr>
              <w:t>Dez. 2022</w:t>
            </w:r>
          </w:p>
        </w:tc>
        <w:tc>
          <w:tcPr>
            <w:tcW w:type="dxa" w:w="3024"/>
          </w:tcPr>
          <w:p>
            <w:r>
              <w:rPr>
                <w:rFonts w:ascii="Times New Roman" w:hAnsi="Times New Roman"/>
                <w:sz w:val="20"/>
              </w:rPr>
              <w:t>Zweite Krypto-Transaktion: 1,2 BTC + 8 ETH (Wert ca. 25 TEUR zum Datum)</w:t>
            </w:r>
          </w:p>
        </w:tc>
        <w:tc>
          <w:tcPr>
            <w:tcW w:type="dxa" w:w="3024"/>
          </w:tcPr>
          <w:p>
            <w:r>
              <w:rPr>
                <w:rFonts w:ascii="Times New Roman" w:hAnsi="Times New Roman"/>
                <w:sz w:val="20"/>
              </w:rPr>
              <w:t>08, 10</w:t>
            </w:r>
          </w:p>
        </w:tc>
      </w:tr>
      <w:tr>
        <w:tc>
          <w:tcPr>
            <w:tcW w:type="dxa" w:w="3024"/>
          </w:tcPr>
          <w:p>
            <w:r>
              <w:rPr>
                <w:rFonts w:ascii="Times New Roman" w:hAnsi="Times New Roman"/>
                <w:sz w:val="20"/>
              </w:rPr>
              <w:t>14.06.2023</w:t>
            </w:r>
          </w:p>
        </w:tc>
        <w:tc>
          <w:tcPr>
            <w:tcW w:type="dxa" w:w="3024"/>
          </w:tcPr>
          <w:p>
            <w:r>
              <w:rPr>
                <w:rFonts w:ascii="Times New Roman" w:hAnsi="Times New Roman"/>
                <w:sz w:val="20"/>
              </w:rPr>
              <w:t>Notar Dr. Welz protokolliert Edelmanns Äußerung zu Schenkungen</w:t>
            </w:r>
          </w:p>
        </w:tc>
        <w:tc>
          <w:tcPr>
            <w:tcW w:type="dxa" w:w="3024"/>
          </w:tcPr>
          <w:p>
            <w:r>
              <w:rPr>
                <w:rFonts w:ascii="Times New Roman" w:hAnsi="Times New Roman"/>
                <w:sz w:val="20"/>
              </w:rPr>
              <w:t>04</w:t>
            </w:r>
          </w:p>
        </w:tc>
      </w:tr>
      <w:tr>
        <w:tc>
          <w:tcPr>
            <w:tcW w:type="dxa" w:w="3024"/>
          </w:tcPr>
          <w:p>
            <w:r>
              <w:rPr>
                <w:rFonts w:ascii="Times New Roman" w:hAnsi="Times New Roman"/>
                <w:sz w:val="20"/>
              </w:rPr>
              <w:t>Okt. 2023</w:t>
            </w:r>
          </w:p>
        </w:tc>
        <w:tc>
          <w:tcPr>
            <w:tcW w:type="dxa" w:w="3024"/>
          </w:tcPr>
          <w:p>
            <w:r>
              <w:rPr>
                <w:rFonts w:ascii="Times New Roman" w:hAnsi="Times New Roman"/>
                <w:sz w:val="20"/>
              </w:rPr>
              <w:t>Tod von RA Trotz (Kanzleinachlass unklar)</w:t>
            </w:r>
          </w:p>
        </w:tc>
        <w:tc>
          <w:tcPr>
            <w:tcW w:type="dxa" w:w="3024"/>
          </w:tcPr>
          <w:p>
            <w:r>
              <w:rPr>
                <w:rFonts w:ascii="Times New Roman" w:hAnsi="Times New Roman"/>
                <w:sz w:val="20"/>
              </w:rPr>
              <w:t>15</w:t>
            </w:r>
          </w:p>
        </w:tc>
      </w:tr>
      <w:tr>
        <w:tc>
          <w:tcPr>
            <w:tcW w:type="dxa" w:w="3024"/>
          </w:tcPr>
          <w:p>
            <w:r>
              <w:rPr>
                <w:rFonts w:ascii="Times New Roman" w:hAnsi="Times New Roman"/>
                <w:sz w:val="20"/>
              </w:rPr>
              <w:t>Dez. 2023</w:t>
            </w:r>
          </w:p>
        </w:tc>
        <w:tc>
          <w:tcPr>
            <w:tcW w:type="dxa" w:w="3024"/>
          </w:tcPr>
          <w:p>
            <w:r>
              <w:rPr>
                <w:rFonts w:ascii="Times New Roman" w:hAnsi="Times New Roman"/>
                <w:sz w:val="20"/>
              </w:rPr>
              <w:t>Dritte Schenkungstranche an Constantin: 120.000 EUR</w:t>
            </w:r>
          </w:p>
        </w:tc>
        <w:tc>
          <w:tcPr>
            <w:tcW w:type="dxa" w:w="3024"/>
          </w:tcPr>
          <w:p>
            <w:r>
              <w:rPr>
                <w:rFonts w:ascii="Times New Roman" w:hAnsi="Times New Roman"/>
                <w:sz w:val="20"/>
              </w:rPr>
              <w:t>10</w:t>
            </w:r>
          </w:p>
        </w:tc>
      </w:tr>
      <w:tr>
        <w:tc>
          <w:tcPr>
            <w:tcW w:type="dxa" w:w="3024"/>
          </w:tcPr>
          <w:p>
            <w:r>
              <w:rPr>
                <w:rFonts w:ascii="Times New Roman" w:hAnsi="Times New Roman"/>
                <w:sz w:val="20"/>
              </w:rPr>
              <w:t>Mär. 2024</w:t>
            </w:r>
          </w:p>
        </w:tc>
        <w:tc>
          <w:tcPr>
            <w:tcW w:type="dxa" w:w="3024"/>
          </w:tcPr>
          <w:p>
            <w:r>
              <w:rPr>
                <w:rFonts w:ascii="Times New Roman" w:hAnsi="Times New Roman"/>
                <w:sz w:val="20"/>
              </w:rPr>
              <w:t>Dritte Krypto-Transaktion: ca. 2 ETH (Wert ca. 7 TEUR)</w:t>
            </w:r>
          </w:p>
        </w:tc>
        <w:tc>
          <w:tcPr>
            <w:tcW w:type="dxa" w:w="3024"/>
          </w:tcPr>
          <w:p>
            <w:r>
              <w:rPr>
                <w:rFonts w:ascii="Times New Roman" w:hAnsi="Times New Roman"/>
                <w:sz w:val="20"/>
              </w:rPr>
              <w:t>08, 10</w:t>
            </w:r>
          </w:p>
        </w:tc>
      </w:tr>
      <w:tr>
        <w:tc>
          <w:tcPr>
            <w:tcW w:type="dxa" w:w="3024"/>
          </w:tcPr>
          <w:p>
            <w:r>
              <w:rPr>
                <w:rFonts w:ascii="Times New Roman" w:hAnsi="Times New Roman"/>
                <w:sz w:val="20"/>
              </w:rPr>
              <w:t>Herbst 2024</w:t>
            </w:r>
          </w:p>
        </w:tc>
        <w:tc>
          <w:tcPr>
            <w:tcW w:type="dxa" w:w="3024"/>
          </w:tcPr>
          <w:p>
            <w:r>
              <w:rPr>
                <w:rFonts w:ascii="Times New Roman" w:hAnsi="Times New Roman"/>
                <w:sz w:val="20"/>
              </w:rPr>
              <w:t>Gesundheitszustand Edelmann verschlechtert sich; Pflegekraft organisiert</w:t>
            </w:r>
          </w:p>
        </w:tc>
        <w:tc>
          <w:tcPr>
            <w:tcW w:type="dxa" w:w="3024"/>
          </w:tcPr>
          <w:p>
            <w:r>
              <w:rPr>
                <w:rFonts w:ascii="Times New Roman" w:hAnsi="Times New Roman"/>
                <w:sz w:val="20"/>
              </w:rPr>
              <w:t>01</w:t>
            </w:r>
          </w:p>
        </w:tc>
      </w:tr>
      <w:tr>
        <w:tc>
          <w:tcPr>
            <w:tcW w:type="dxa" w:w="3024"/>
          </w:tcPr>
          <w:p>
            <w:r>
              <w:rPr>
                <w:rFonts w:ascii="Times New Roman" w:hAnsi="Times New Roman"/>
                <w:sz w:val="20"/>
              </w:rPr>
              <w:t>12.03.2025</w:t>
            </w:r>
          </w:p>
        </w:tc>
        <w:tc>
          <w:tcPr>
            <w:tcW w:type="dxa" w:w="3024"/>
          </w:tcPr>
          <w:p>
            <w:r>
              <w:rPr>
                <w:rFonts w:ascii="Times New Roman" w:hAnsi="Times New Roman"/>
                <w:sz w:val="20"/>
              </w:rPr>
              <w:t>Tod Reinhard Edelmann, 05:47 Uhr, Sana-Klinik Stuttgart-Degerloch</w:t>
            </w:r>
          </w:p>
        </w:tc>
        <w:tc>
          <w:tcPr>
            <w:tcW w:type="dxa" w:w="3024"/>
          </w:tcPr>
          <w:p>
            <w:r>
              <w:rPr>
                <w:rFonts w:ascii="Times New Roman" w:hAnsi="Times New Roman"/>
                <w:sz w:val="20"/>
              </w:rPr>
              <w:t>—</w:t>
            </w:r>
          </w:p>
        </w:tc>
      </w:tr>
      <w:tr>
        <w:tc>
          <w:tcPr>
            <w:tcW w:type="dxa" w:w="3024"/>
          </w:tcPr>
          <w:p>
            <w:r>
              <w:rPr>
                <w:rFonts w:ascii="Times New Roman" w:hAnsi="Times New Roman"/>
                <w:sz w:val="20"/>
              </w:rPr>
              <w:t>14.03.2025</w:t>
            </w:r>
          </w:p>
        </w:tc>
        <w:tc>
          <w:tcPr>
            <w:tcW w:type="dxa" w:w="3024"/>
          </w:tcPr>
          <w:p>
            <w:r>
              <w:rPr>
                <w:rFonts w:ascii="Times New Roman" w:hAnsi="Times New Roman"/>
                <w:sz w:val="20"/>
              </w:rPr>
              <w:t>Marlies informiert Henrike telefonisch</w:t>
            </w:r>
          </w:p>
        </w:tc>
        <w:tc>
          <w:tcPr>
            <w:tcW w:type="dxa" w:w="3024"/>
          </w:tcPr>
          <w:p>
            <w:r>
              <w:rPr>
                <w:rFonts w:ascii="Times New Roman" w:hAnsi="Times New Roman"/>
                <w:sz w:val="20"/>
              </w:rPr>
              <w:t>01</w:t>
            </w:r>
          </w:p>
        </w:tc>
      </w:tr>
      <w:tr>
        <w:tc>
          <w:tcPr>
            <w:tcW w:type="dxa" w:w="3024"/>
          </w:tcPr>
          <w:p>
            <w:r>
              <w:rPr>
                <w:rFonts w:ascii="Times New Roman" w:hAnsi="Times New Roman"/>
                <w:sz w:val="20"/>
              </w:rPr>
              <w:t>15.03.2025</w:t>
            </w:r>
          </w:p>
        </w:tc>
        <w:tc>
          <w:tcPr>
            <w:tcW w:type="dxa" w:w="3024"/>
          </w:tcPr>
          <w:p>
            <w:r>
              <w:rPr>
                <w:rFonts w:ascii="Times New Roman" w:hAnsi="Times New Roman"/>
                <w:sz w:val="20"/>
              </w:rPr>
              <w:t>E-Mail Marlies an Henrike (Betreff: Haus, Erbschaft)</w:t>
            </w:r>
          </w:p>
        </w:tc>
        <w:tc>
          <w:tcPr>
            <w:tcW w:type="dxa" w:w="3024"/>
          </w:tcPr>
          <w:p>
            <w:r>
              <w:rPr>
                <w:rFonts w:ascii="Times New Roman" w:hAnsi="Times New Roman"/>
                <w:sz w:val="20"/>
              </w:rPr>
              <w:t>emails/</w:t>
            </w:r>
          </w:p>
        </w:tc>
      </w:tr>
      <w:tr>
        <w:tc>
          <w:tcPr>
            <w:tcW w:type="dxa" w:w="3024"/>
          </w:tcPr>
          <w:p>
            <w:r>
              <w:rPr>
                <w:rFonts w:ascii="Times New Roman" w:hAnsi="Times New Roman"/>
                <w:sz w:val="20"/>
              </w:rPr>
              <w:t>21.03.2025</w:t>
            </w:r>
          </w:p>
        </w:tc>
        <w:tc>
          <w:tcPr>
            <w:tcW w:type="dxa" w:w="3024"/>
          </w:tcPr>
          <w:p>
            <w:r>
              <w:rPr>
                <w:rFonts w:ascii="Times New Roman" w:hAnsi="Times New Roman"/>
                <w:sz w:val="20"/>
              </w:rPr>
              <w:t>Beerdigung, Waldfriedhof Stuttgart-Degerloch</w:t>
            </w:r>
          </w:p>
        </w:tc>
        <w:tc>
          <w:tcPr>
            <w:tcW w:type="dxa" w:w="3024"/>
          </w:tcPr>
          <w:p>
            <w:r>
              <w:rPr>
                <w:rFonts w:ascii="Times New Roman" w:hAnsi="Times New Roman"/>
                <w:sz w:val="20"/>
              </w:rPr>
              <w:t>—</w:t>
            </w:r>
          </w:p>
        </w:tc>
      </w:tr>
      <w:tr>
        <w:tc>
          <w:tcPr>
            <w:tcW w:type="dxa" w:w="3024"/>
          </w:tcPr>
          <w:p>
            <w:r>
              <w:rPr>
                <w:rFonts w:ascii="Times New Roman" w:hAnsi="Times New Roman"/>
                <w:sz w:val="20"/>
              </w:rPr>
              <w:t>25.03.2025</w:t>
            </w:r>
          </w:p>
        </w:tc>
        <w:tc>
          <w:tcPr>
            <w:tcW w:type="dxa" w:w="3024"/>
          </w:tcPr>
          <w:p>
            <w:r>
              <w:rPr>
                <w:rFonts w:ascii="Times New Roman" w:hAnsi="Times New Roman"/>
                <w:sz w:val="20"/>
              </w:rPr>
              <w:t>Edelmanns Testament bei Nachlassgericht Stuttgart eingereicht (durch Marlies)</w:t>
            </w:r>
          </w:p>
        </w:tc>
        <w:tc>
          <w:tcPr>
            <w:tcW w:type="dxa" w:w="3024"/>
          </w:tcPr>
          <w:p>
            <w:r>
              <w:rPr>
                <w:rFonts w:ascii="Times New Roman" w:hAnsi="Times New Roman"/>
                <w:sz w:val="20"/>
              </w:rPr>
              <w:t>14</w:t>
            </w:r>
          </w:p>
        </w:tc>
      </w:tr>
      <w:tr>
        <w:tc>
          <w:tcPr>
            <w:tcW w:type="dxa" w:w="3024"/>
          </w:tcPr>
          <w:p>
            <w:r>
              <w:rPr>
                <w:rFonts w:ascii="Times New Roman" w:hAnsi="Times New Roman"/>
                <w:sz w:val="20"/>
              </w:rPr>
              <w:t>28.03.2025</w:t>
            </w:r>
          </w:p>
        </w:tc>
        <w:tc>
          <w:tcPr>
            <w:tcW w:type="dxa" w:w="3024"/>
          </w:tcPr>
          <w:p>
            <w:r>
              <w:rPr>
                <w:rFonts w:ascii="Times New Roman" w:hAnsi="Times New Roman"/>
                <w:sz w:val="20"/>
              </w:rPr>
              <w:t>Testamentseröffnung, AG Stuttgart Az. 24 VI 213/25</w:t>
            </w:r>
          </w:p>
        </w:tc>
        <w:tc>
          <w:tcPr>
            <w:tcW w:type="dxa" w:w="3024"/>
          </w:tcPr>
          <w:p>
            <w:r>
              <w:rPr>
                <w:rFonts w:ascii="Times New Roman" w:hAnsi="Times New Roman"/>
                <w:sz w:val="20"/>
              </w:rPr>
              <w:t>14</w:t>
            </w:r>
          </w:p>
        </w:tc>
      </w:tr>
      <w:tr>
        <w:tc>
          <w:tcPr>
            <w:tcW w:type="dxa" w:w="3024"/>
          </w:tcPr>
          <w:p>
            <w:r>
              <w:rPr>
                <w:rFonts w:ascii="Times New Roman" w:hAnsi="Times New Roman"/>
                <w:sz w:val="20"/>
              </w:rPr>
              <w:t>02.04.2025</w:t>
            </w:r>
          </w:p>
        </w:tc>
        <w:tc>
          <w:tcPr>
            <w:tcW w:type="dxa" w:w="3024"/>
          </w:tcPr>
          <w:p>
            <w:r>
              <w:rPr>
                <w:rFonts w:ascii="Times New Roman" w:hAnsi="Times New Roman"/>
                <w:sz w:val="20"/>
              </w:rPr>
              <w:t>Constantin teilt Henrike telefonisch mit, er habe zwei der fünf Wallet-Schlüssel</w:t>
            </w:r>
          </w:p>
        </w:tc>
        <w:tc>
          <w:tcPr>
            <w:tcW w:type="dxa" w:w="3024"/>
          </w:tcPr>
          <w:p>
            <w:r>
              <w:rPr>
                <w:rFonts w:ascii="Times New Roman" w:hAnsi="Times New Roman"/>
                <w:sz w:val="20"/>
              </w:rPr>
              <w:t>08, 09</w:t>
            </w:r>
          </w:p>
        </w:tc>
      </w:tr>
      <w:tr>
        <w:tc>
          <w:tcPr>
            <w:tcW w:type="dxa" w:w="3024"/>
          </w:tcPr>
          <w:p>
            <w:r>
              <w:rPr>
                <w:rFonts w:ascii="Times New Roman" w:hAnsi="Times New Roman"/>
                <w:sz w:val="20"/>
              </w:rPr>
              <w:t>22.04.2025</w:t>
            </w:r>
          </w:p>
        </w:tc>
        <w:tc>
          <w:tcPr>
            <w:tcW w:type="dxa" w:w="3024"/>
          </w:tcPr>
          <w:p>
            <w:r>
              <w:rPr>
                <w:rFonts w:ascii="Times New Roman" w:hAnsi="Times New Roman"/>
                <w:sz w:val="20"/>
              </w:rPr>
              <w:t>Mandatserteilung Dr. Henrike Edelmann an Kanzlei Klotzkette</w:t>
            </w:r>
          </w:p>
        </w:tc>
        <w:tc>
          <w:tcPr>
            <w:tcW w:type="dxa" w:w="3024"/>
          </w:tcPr>
          <w:p>
            <w:r>
              <w:rPr>
                <w:rFonts w:ascii="Times New Roman" w:hAnsi="Times New Roman"/>
                <w:sz w:val="20"/>
              </w:rPr>
              <w:t>01</w:t>
            </w:r>
          </w:p>
        </w:tc>
      </w:tr>
      <w:tr>
        <w:tc>
          <w:tcPr>
            <w:tcW w:type="dxa" w:w="3024"/>
          </w:tcPr>
          <w:p>
            <w:r>
              <w:rPr>
                <w:rFonts w:ascii="Times New Roman" w:hAnsi="Times New Roman"/>
                <w:sz w:val="20"/>
              </w:rPr>
              <w:t>23.04.2025</w:t>
            </w:r>
          </w:p>
        </w:tc>
        <w:tc>
          <w:tcPr>
            <w:tcW w:type="dxa" w:w="3024"/>
          </w:tcPr>
          <w:p>
            <w:r>
              <w:rPr>
                <w:rFonts w:ascii="Times New Roman" w:hAnsi="Times New Roman"/>
                <w:sz w:val="20"/>
              </w:rPr>
              <w:t>Sicherungsschreiben Kanzlei an Constantin</w:t>
            </w:r>
          </w:p>
        </w:tc>
        <w:tc>
          <w:tcPr>
            <w:tcW w:type="dxa" w:w="3024"/>
          </w:tcPr>
          <w:p>
            <w:r>
              <w:rPr>
                <w:rFonts w:ascii="Times New Roman" w:hAnsi="Times New Roman"/>
                <w:sz w:val="20"/>
              </w:rPr>
              <w:t>09</w:t>
            </w:r>
          </w:p>
        </w:tc>
      </w:tr>
      <w:tr>
        <w:tc>
          <w:tcPr>
            <w:tcW w:type="dxa" w:w="3024"/>
          </w:tcPr>
          <w:p>
            <w:r>
              <w:rPr>
                <w:rFonts w:ascii="Times New Roman" w:hAnsi="Times New Roman"/>
                <w:sz w:val="20"/>
              </w:rPr>
              <w:t>29.04.2025</w:t>
            </w:r>
          </w:p>
        </w:tc>
        <w:tc>
          <w:tcPr>
            <w:tcW w:type="dxa" w:w="3024"/>
          </w:tcPr>
          <w:p>
            <w:r>
              <w:rPr>
                <w:rFonts w:ascii="Times New Roman" w:hAnsi="Times New Roman"/>
                <w:sz w:val="20"/>
              </w:rPr>
              <w:t>Ausschlagungserklärung Constantin beim AG Stuttgart-Nachlassgericht</w:t>
            </w:r>
          </w:p>
        </w:tc>
        <w:tc>
          <w:tcPr>
            <w:tcW w:type="dxa" w:w="3024"/>
          </w:tcPr>
          <w:p>
            <w:r>
              <w:rPr>
                <w:rFonts w:ascii="Times New Roman" w:hAnsi="Times New Roman"/>
                <w:sz w:val="20"/>
              </w:rPr>
              <w:t>12</w:t>
            </w:r>
          </w:p>
        </w:tc>
      </w:tr>
      <w:tr>
        <w:tc>
          <w:tcPr>
            <w:tcW w:type="dxa" w:w="3024"/>
          </w:tcPr>
          <w:p>
            <w:r>
              <w:rPr>
                <w:rFonts w:ascii="Times New Roman" w:hAnsi="Times New Roman"/>
                <w:sz w:val="20"/>
              </w:rPr>
              <w:t>02.05.2025</w:t>
            </w:r>
          </w:p>
        </w:tc>
        <w:tc>
          <w:tcPr>
            <w:tcW w:type="dxa" w:w="3024"/>
          </w:tcPr>
          <w:p>
            <w:r>
              <w:rPr>
                <w:rFonts w:ascii="Times New Roman" w:hAnsi="Times New Roman"/>
                <w:sz w:val="20"/>
              </w:rPr>
              <w:t>Anfrage Kanzlei bei Anwaltskammer BW wegen Kanzleinachlass Trotz</w:t>
            </w:r>
          </w:p>
        </w:tc>
        <w:tc>
          <w:tcPr>
            <w:tcW w:type="dxa" w:w="3024"/>
          </w:tcPr>
          <w:p>
            <w:r>
              <w:rPr>
                <w:rFonts w:ascii="Times New Roman" w:hAnsi="Times New Roman"/>
                <w:sz w:val="20"/>
              </w:rPr>
              <w:t>15</w:t>
            </w:r>
          </w:p>
        </w:tc>
      </w:tr>
      <w:tr>
        <w:tc>
          <w:tcPr>
            <w:tcW w:type="dxa" w:w="3024"/>
          </w:tcPr>
          <w:p>
            <w:r>
              <w:rPr>
                <w:rFonts w:ascii="Times New Roman" w:hAnsi="Times New Roman"/>
                <w:sz w:val="20"/>
              </w:rPr>
              <w:t>05.05.2025</w:t>
            </w:r>
          </w:p>
        </w:tc>
        <w:tc>
          <w:tcPr>
            <w:tcW w:type="dxa" w:w="3024"/>
          </w:tcPr>
          <w:p>
            <w:r>
              <w:rPr>
                <w:rFonts w:ascii="Times New Roman" w:hAnsi="Times New Roman"/>
                <w:sz w:val="20"/>
              </w:rPr>
              <w:t>Strecker meldet sich telefonisch für Marlies</w:t>
            </w:r>
          </w:p>
        </w:tc>
        <w:tc>
          <w:tcPr>
            <w:tcW w:type="dxa" w:w="3024"/>
          </w:tcPr>
          <w:p>
            <w:r>
              <w:rPr>
                <w:rFonts w:ascii="Times New Roman" w:hAnsi="Times New Roman"/>
                <w:sz w:val="20"/>
              </w:rPr>
              <w:t>18</w:t>
            </w:r>
          </w:p>
        </w:tc>
      </w:tr>
      <w:tr>
        <w:tc>
          <w:tcPr>
            <w:tcW w:type="dxa" w:w="3024"/>
          </w:tcPr>
          <w:p>
            <w:r>
              <w:rPr>
                <w:rFonts w:ascii="Times New Roman" w:hAnsi="Times New Roman"/>
                <w:sz w:val="20"/>
              </w:rPr>
              <w:t>06.05.2025</w:t>
            </w:r>
          </w:p>
        </w:tc>
        <w:tc>
          <w:tcPr>
            <w:tcW w:type="dxa" w:w="3024"/>
          </w:tcPr>
          <w:p>
            <w:r>
              <w:rPr>
                <w:rFonts w:ascii="Times New Roman" w:hAnsi="Times New Roman"/>
                <w:sz w:val="20"/>
              </w:rPr>
              <w:t>Telefonkonferenz Mandantin/Kanzlei (Stand dieser Notiz)</w:t>
            </w:r>
          </w:p>
        </w:tc>
        <w:tc>
          <w:tcPr>
            <w:tcW w:type="dxa" w:w="3024"/>
          </w:tcPr>
          <w:p>
            <w:r>
              <w:rPr>
                <w:rFonts w:ascii="Times New Roman" w:hAnsi="Times New Roman"/>
                <w:sz w:val="20"/>
              </w:rPr>
              <w:t>—</w:t>
            </w:r>
          </w:p>
        </w:tc>
      </w:tr>
    </w:tbl>
    <w:p/>
    <w:p>
      <w:pPr>
        <w:pStyle w:val="Heading2"/>
      </w:pPr>
      <w:r>
        <w:rPr>
          <w:rFonts w:ascii="Times New Roman" w:hAnsi="Times New Roman"/>
        </w:rPr>
        <w:t>3. Güterrechtliche Situation</w:t>
      </w:r>
    </w:p>
    <w:p>
      <w:pPr>
        <w:jc w:val="left"/>
      </w:pPr>
      <w:r>
        <w:t>Die zweite Ehe von Edelmann und Marlies Edelmann-Praun stand unter dem gesetzlichen Güterstand der Zugewinngemeinschaft (Paragrafen 1363 ff. BGB). Ein Ehevertrag ist nach derzeitigem Kenntnisstand nicht errichtet worden; Anfrage an Notariatsarchiv Stuttgart läuft.</w:t>
      </w:r>
    </w:p>
    <w:p>
      <w:pPr>
        <w:jc w:val="left"/>
      </w:pPr>
      <w:r>
        <w:t>Mit Edelmanns Tod endet die Zugewinngemeinschaft. Marlies hat einen Zugewinnausgleichsanspruch nach Paragraf 1371 BGB. Da sie jedoch Erbin wird (1/4 Erbanteil), gilt Paragraf 1371 Abs. 1 BGB: Das gesetzliche Erbrecht der Ehefrau erhöht sich um ein Viertel — dies gilt jedoch nur bei gesetzlicher Erbfolge, nicht wenn ein Testament die Erbquoten festsetzt. Hier liegt ein Testament vor (je 1/4). Marlies muss ggf. zwischen der Erbquote aus dem Testament und einem etwaigen kleinen Pflichtteil zzgl. Zugewinnausgleich nach Paragraf 1371 Abs. 2 BGB abwägen, was RA Strecker zweifellos bereits kalkuliert.</w:t>
      </w:r>
    </w:p>
    <w:p>
      <w:pPr>
        <w:jc w:val="left"/>
      </w:pPr>
      <w:r>
        <w:rPr>
          <w:b/>
        </w:rPr>
        <w:t>Praktisches Risiko:</w:t>
      </w:r>
      <w:r>
        <w:t xml:space="preserve"> Wenn Marlies den Weg über Paragraf 1371 Abs. 2 BGB geht (Ausschlagung + Pflichtteil + Zugewinnausgleich), wäre der Zugewinn konkret zu ermitteln. Edelmanns Anfangsvermögen 2014 und das Endvermögen 2025 sind nicht vollständig dokumentiert. Die Kryptowährungen könnten hier als Zugewinnmasse oder als vorzeitig übertragenes Vermögen (Paragraf 1375 Abs. 2 BGB) eine Rolle spielen. Diese Linie ist von Marlies bisher nicht eingeschlagen; Strecker hat sie aber zweifellos im Blick.</w:t>
      </w:r>
    </w:p>
    <w:p/>
    <w:p>
      <w:pPr>
        <w:pStyle w:val="Heading2"/>
      </w:pPr>
      <w:r>
        <w:rPr>
          <w:rFonts w:ascii="Times New Roman" w:hAnsi="Times New Roman"/>
        </w:rPr>
        <w:t>4. Pflichtteilsberechtigter Personenkreis</w:t>
      </w:r>
    </w:p>
    <w:p>
      <w:pPr>
        <w:jc w:val="left"/>
      </w:pPr>
      <w:r>
        <w:t>Nach den erbrechtlichen Verhältnissen sind folgende Personen pflichtteilsberechtigt (Paragrafen 2303 ff. BGB):</w:t>
      </w:r>
    </w:p>
    <w:p>
      <w:pPr>
        <w:pStyle w:val="ListNumber"/>
      </w:pPr>
      <w:r>
        <w:rPr>
          <w:b/>
        </w:rPr>
        <w:t>Henrike Edelmann</w:t>
      </w:r>
      <w:r>
        <w:t xml:space="preserve"> — Tochter, pflichtteilsberechtigt nach Paragraf 2303 Abs. 1 BGB.</w:t>
      </w:r>
    </w:p>
    <w:p>
      <w:pPr>
        <w:pStyle w:val="ListNumber"/>
      </w:pPr>
      <w:r>
        <w:rPr>
          <w:b/>
        </w:rPr>
        <w:t>Constantin Edelmann</w:t>
      </w:r>
      <w:r>
        <w:t xml:space="preserve"> — Sohn; nach Ausschlagung rückt er aus dem Erbenkreis aus; sein Pflichtteilsrecht bleibt bestehen (Paragraf 2306 BGB analog, Paragraf 1953 BGB iVm Paragraf 2303 BGB). Die Ausschlagung suspendiert nicht das Pflichtteilsrecht.</w:t>
      </w:r>
    </w:p>
    <w:p>
      <w:pPr>
        <w:pStyle w:val="ListNumber"/>
      </w:pPr>
      <w:r>
        <w:rPr>
          <w:b/>
        </w:rPr>
        <w:t>Marie-Theres Edelmann-Berlepsch</w:t>
      </w:r>
      <w:r>
        <w:t xml:space="preserve"> — Hat Pflichtteil durch Vertrag 2020 abgetreten (Paragraf 2346 BGB); Bestand und Wirksamkeit dieses Verzichts stehen unter Vorbehalt.</w:t>
      </w:r>
    </w:p>
    <w:p>
      <w:pPr>
        <w:pStyle w:val="ListNumber"/>
      </w:pPr>
      <w:r>
        <w:rPr>
          <w:b/>
        </w:rPr>
        <w:t>Marlies Edelmann-Praun</w:t>
      </w:r>
      <w:r>
        <w:t xml:space="preserve"> — Als Ehefrau nach Paragraf 2303 Abs. 2 BGB pflichtteilsberechtigt; ihr Pflichtteil wäre 1/8 des Nachlasswerts. Da sie Erbin (1/4) ist, ist der Pflichtteil kein akutes Thema, solange sie die Erbschaft annimmt.</w:t>
      </w:r>
    </w:p>
    <w:p/>
    <w:p>
      <w:pPr>
        <w:pStyle w:val="Heading2"/>
      </w:pPr>
      <w:r>
        <w:rPr>
          <w:rFonts w:ascii="Times New Roman" w:hAnsi="Times New Roman"/>
        </w:rPr>
        <w:t>5. Offene Recherchepunkte</w:t>
      </w:r>
    </w:p>
    <w:p>
      <w:pPr>
        <w:pStyle w:val="ListBullet"/>
      </w:pPr>
      <w:r>
        <w:t>Ehevertragsregister Stuttgart: Anfrage läuft.</w:t>
      </w:r>
    </w:p>
    <w:p>
      <w:pPr>
        <w:pStyle w:val="ListBullet"/>
      </w:pPr>
      <w:r>
        <w:t>Zugewinn Edelmann 2014–2025: Kontounterlagen Bankhaus Lampe-Hauck, alte Steuerbescheide.</w:t>
      </w:r>
    </w:p>
    <w:p>
      <w:pPr>
        <w:pStyle w:val="ListBullet"/>
      </w:pPr>
      <w:r>
        <w:t>Vaterschaftsurkunde Marie-Theres: liegt vor (Kopie aus Handakte Henrike).</w:t>
      </w:r>
    </w:p>
    <w:p>
      <w:pPr>
        <w:pStyle w:val="ListBullet"/>
      </w:pPr>
      <w:r>
        <w:t>Wohnungseigentumsgrundbuch Konstanz: Henrike soll Kopie beschaffen (aktuellen Stand, da Belastungen relevant).</w:t>
      </w:r>
    </w:p>
    <w:p>
      <w:pPr>
        <w:pStyle w:val="ListBullet"/>
      </w:pPr>
      <w:r>
        <w:t>Sterbeurkunde + Erbscheinsunterlagen: Nachlassgericht Stuttgart angefordert.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