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Nachlassverzeichnis (Initialaufstellung) — Edelmann</w:t>
      </w:r>
    </w:p>
    <w:p>
      <w:pPr>
        <w:jc w:val="left"/>
      </w:pPr>
      <w:r>
        <w:rPr>
          <w:b/>
        </w:rPr>
        <w:t>Az.:</w:t>
      </w:r>
      <w:r>
        <w:t xml:space="preserve"> KlKette 025/0422-ERB-EDE</w:t>
      </w:r>
    </w:p>
    <w:p>
      <w:pPr>
        <w:jc w:val="left"/>
      </w:pPr>
      <w:r>
        <w:rPr>
          <w:b/>
        </w:rPr>
        <w:t>Stichtag:</w:t>
      </w:r>
      <w:r>
        <w:t xml:space="preserve"> 12.03.2025 (Todestag)</w:t>
      </w:r>
    </w:p>
    <w:p>
      <w:pPr>
        <w:jc w:val="left"/>
      </w:pPr>
      <w:r>
        <w:rPr>
          <w:b/>
        </w:rPr>
        <w:t>Erstellt:</w:t>
      </w:r>
      <w:r>
        <w:t xml:space="preserve"> 07.05.2025 durch RAin Steinkamp, auf Basis vorhandener Belege</w:t>
      </w:r>
    </w:p>
    <w:p>
      <w:pPr>
        <w:jc w:val="left"/>
      </w:pPr>
      <w:r>
        <w:rPr>
          <w:b/>
        </w:rPr>
        <w:t>Status:</w:t>
      </w:r>
      <w:r>
        <w:t xml:space="preserve"> vorläufig, Bewertungen z.T. geschätzt; formelles Sachverständigengutachten beauftragt</w:t>
      </w:r>
    </w:p>
    <w:p/>
    <w:p>
      <w:pPr>
        <w:pStyle w:val="Heading2"/>
      </w:pPr>
      <w:r>
        <w:rPr>
          <w:rFonts w:ascii="Times New Roman" w:hAnsi="Times New Roman"/>
        </w:rPr>
        <w:t>1. Aktiva</w:t>
      </w:r>
    </w:p>
    <w:p>
      <w:pPr>
        <w:pStyle w:val="Heading3"/>
      </w:pPr>
      <w:r>
        <w:rPr>
          <w:rFonts w:ascii="Times New Roman" w:hAnsi="Times New Roman"/>
        </w:rPr>
        <w:t>1.1 Grundvermögen</w:t>
      </w:r>
    </w:p>
    <w:p>
      <w:pPr>
        <w:jc w:val="left"/>
      </w:pPr>
      <w:r>
        <w:rPr>
          <w:b/>
        </w:rPr>
        <w:t>Objekt:</w:t>
      </w:r>
      <w:r>
        <w:t xml:space="preserve"> Einfamilienhaus mit Garten und Garage, Sonnenbergstraße 38a, 70195 Stuttgart-Degerloch</w:t>
      </w:r>
    </w:p>
    <w:p>
      <w:pPr>
        <w:jc w:val="left"/>
      </w:pPr>
      <w:r>
        <w:rPr>
          <w:b/>
        </w:rPr>
        <w:t>Grundbuch:</w:t>
      </w:r>
      <w:r>
        <w:t xml:space="preserve"> Grundbuch Degerloch, Blatt 1144, Flurstück 4892/7</w:t>
      </w:r>
    </w:p>
    <w:p>
      <w:pPr>
        <w:jc w:val="left"/>
      </w:pPr>
      <w:r>
        <w:rPr>
          <w:b/>
        </w:rPr>
        <w:t>Grundbuchstand:</w:t>
      </w:r>
      <w:r>
        <w:t xml:space="preserve"> Eigentümer: Prof. Dr. Reinhard Edelmann, eingetragen 2004. Keine Grundschulden, keine Dienstbarkeiten eingetragen (Stand: Grundbuchauszug angefordert; laut mündl. Auskunft Grundbuchamt vom 06.05.2025 keine Belastungen).</w:t>
      </w:r>
    </w:p>
    <w:p>
      <w:pPr>
        <w:jc w:val="left"/>
      </w:pPr>
      <w:r>
        <w:rPr>
          <w:b/>
        </w:rPr>
        <w:t>Bewertung:</w:t>
      </w:r>
      <w:r>
        <w:t xml:space="preserve"> Erstes Kurzgutachten Sachverständigenbüro Bender &amp; Mörser, Stuttgart, vom 02.05.2025: </w:t>
      </w:r>
      <w:r>
        <w:rPr>
          <w:b/>
        </w:rPr>
        <w:t>1.850.000 EUR</w:t>
      </w:r>
      <w:r>
        <w:t>. Bewertungsgrundlage: Sachwertverfahren, ergänzt Vergleichswerte; Degerloch Hanglage, Baujahr 1962, Renovierungsstand gut, ca. 210 qm Wohnfläche, Grundstück 720 qm.</w:t>
      </w:r>
    </w:p>
    <w:p>
      <w:pPr>
        <w:jc w:val="left"/>
      </w:pPr>
      <w:r>
        <w:rPr>
          <w:b/>
        </w:rPr>
        <w:t>Korrektur für Pflichtteilsrechnung:</w:t>
      </w:r>
      <w:r>
        <w:t xml:space="preserve"> Wohnrechtsbarwert für Marlies (Lebenserwartung ca. 25 J., Jahresmietwert ca. 30.000 EUR, Zinssatz 3,5 %): ca. </w:t>
      </w:r>
      <w:r>
        <w:rPr>
          <w:b/>
        </w:rPr>
        <w:t>350.000 EUR</w:t>
      </w:r>
      <w:r>
        <w:t xml:space="preserve"> (→ Aktenstück 06). Für den Pflichtteilsergänzungsanspruch ist das Grundstück ohne Wohnrechtsabzug zu bewerten (BGH 27.09.2002 IV ZR 54/01 zur Nichtabzugsfähigkeit des Wohnrechtsbarwerts bei Pflichtteilsergänzung). Streitpunkt offen.</w:t>
      </w:r>
    </w:p>
    <w:p>
      <w:pPr>
        <w:pStyle w:val="Heading3"/>
      </w:pPr>
      <w:r>
        <w:rPr>
          <w:rFonts w:ascii="Times New Roman" w:hAnsi="Times New Roman"/>
        </w:rPr>
        <w:t>1.2 Wertpapierdepot</w:t>
      </w:r>
    </w:p>
    <w:p>
      <w:pPr>
        <w:jc w:val="left"/>
      </w:pPr>
      <w:r>
        <w:rPr>
          <w:b/>
        </w:rPr>
        <w:t>Institut:</w:t>
      </w:r>
      <w:r>
        <w:t xml:space="preserve"> Bankhaus Lampe-Hauck &amp; Cie., Stuttgart (Privatbank, Depotführung Stuttgart-Mitte)</w:t>
      </w:r>
    </w:p>
    <w:p>
      <w:pPr>
        <w:jc w:val="left"/>
      </w:pPr>
      <w:r>
        <w:rPr>
          <w:b/>
        </w:rPr>
        <w:t>Depotnummer:</w:t>
      </w:r>
      <w:r>
        <w:t xml:space="preserve"> [geschwärzt für Akte, liegt Kanzlei vor]</w:t>
      </w:r>
    </w:p>
    <w:p>
      <w:pPr>
        <w:jc w:val="left"/>
      </w:pPr>
      <w:r>
        <w:rPr>
          <w:b/>
        </w:rPr>
        <w:t>Stand zum Stichtag 12.03.2025:</w:t>
      </w:r>
      <w:r>
        <w:t xml:space="preserve"> Angefordert; noch nicht erhalten. Letzter vorliegender Stand: Jahresende 2024, Gesamtwert </w:t>
      </w:r>
      <w:r>
        <w:rPr>
          <w:b/>
        </w:rPr>
        <w:t>1.124.382 EUR</w:t>
      </w:r>
      <w:r>
        <w:t>.</w:t>
      </w:r>
    </w:p>
    <w:p>
      <w:pPr>
        <w:jc w:val="left"/>
      </w:pPr>
      <w:r>
        <w:rPr>
          <w:b/>
        </w:rPr>
        <w:t>Zusammensetzung (31.12.2024, vorläufig):</w:t>
      </w:r>
      <w:r>
        <w:t xml:space="preserve"> Details → Aktenstück 07.</w:t>
      </w:r>
    </w:p>
    <w:p>
      <w:pPr>
        <w:jc w:val="left"/>
      </w:pPr>
      <w:r>
        <w:rPr>
          <w:b/>
        </w:rPr>
        <w:t>Schätzung Stichtag:</w:t>
      </w:r>
      <w:r>
        <w:t xml:space="preserve"> Kursveränderungen Jan.–Mär. 2025 müssen durch aktuelle Depotbewertung ermittelt werden. Vorläufige Ansatz: </w:t>
      </w:r>
      <w:r>
        <w:rPr>
          <w:b/>
        </w:rPr>
        <w:t>1.120.000 EUR</w:t>
      </w:r>
      <w:r>
        <w:t>.</w:t>
      </w:r>
    </w:p>
    <w:p>
      <w:pPr>
        <w:pStyle w:val="Heading3"/>
      </w:pPr>
      <w:r>
        <w:rPr>
          <w:rFonts w:ascii="Times New Roman" w:hAnsi="Times New Roman"/>
        </w:rPr>
        <w:t>1.3 Kryptowährungen (3-of-5 Multisig-Wallet)</w:t>
      </w:r>
    </w:p>
    <w:p>
      <w:pPr>
        <w:jc w:val="left"/>
      </w:pPr>
      <w:r>
        <w:rPr>
          <w:b/>
        </w:rPr>
        <w:t>Beschreibung:</w:t>
      </w:r>
      <w:r>
        <w:t xml:space="preserve"> Bitcoin (BTC) und Ether (ETH) in einem gemeinsamen Multisig-Wallet. Walletstruktur, Adressen und Transaktionshistorie → Aktenstück 08.</w:t>
      </w:r>
    </w:p>
    <w:p>
      <w:pPr>
        <w:jc w:val="left"/>
      </w:pPr>
      <w:r>
        <w:rPr>
          <w:b/>
        </w:rPr>
        <w:t>Schätzung Stichtag (12.03.2025):</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Coin</w:t>
            </w:r>
          </w:p>
        </w:tc>
        <w:tc>
          <w:tcPr>
            <w:tcW w:type="dxa" w:w="2268"/>
          </w:tcPr>
          <w:p>
            <w:r>
              <w:rPr>
                <w:rFonts w:ascii="Times New Roman" w:hAnsi="Times New Roman"/>
                <w:b/>
                <w:sz w:val="20"/>
              </w:rPr>
              <w:t>Menge</w:t>
            </w:r>
          </w:p>
        </w:tc>
        <w:tc>
          <w:tcPr>
            <w:tcW w:type="dxa" w:w="2268"/>
          </w:tcPr>
          <w:p>
            <w:r>
              <w:rPr>
                <w:rFonts w:ascii="Times New Roman" w:hAnsi="Times New Roman"/>
                <w:b/>
                <w:sz w:val="20"/>
              </w:rPr>
              <w:t>Kurs 12.03.2025</w:t>
            </w:r>
          </w:p>
        </w:tc>
        <w:tc>
          <w:tcPr>
            <w:tcW w:type="dxa" w:w="2268"/>
          </w:tcPr>
          <w:p>
            <w:r>
              <w:rPr>
                <w:rFonts w:ascii="Times New Roman" w:hAnsi="Times New Roman"/>
                <w:b/>
                <w:sz w:val="20"/>
              </w:rPr>
              <w:t>EUR-Wert</w:t>
            </w:r>
          </w:p>
        </w:tc>
      </w:tr>
      <w:tr>
        <w:tc>
          <w:tcPr>
            <w:tcW w:type="dxa" w:w="2268"/>
          </w:tcPr>
          <w:p>
            <w:r>
              <w:rPr>
                <w:rFonts w:ascii="Times New Roman" w:hAnsi="Times New Roman"/>
                <w:sz w:val="20"/>
              </w:rPr>
              <w:t>BTC</w:t>
            </w:r>
          </w:p>
        </w:tc>
        <w:tc>
          <w:tcPr>
            <w:tcW w:type="dxa" w:w="2268"/>
          </w:tcPr>
          <w:p>
            <w:r>
              <w:rPr>
                <w:rFonts w:ascii="Times New Roman" w:hAnsi="Times New Roman"/>
                <w:sz w:val="20"/>
              </w:rPr>
              <w:t>14,2 BTC</w:t>
            </w:r>
          </w:p>
        </w:tc>
        <w:tc>
          <w:tcPr>
            <w:tcW w:type="dxa" w:w="2268"/>
          </w:tcPr>
          <w:p>
            <w:r>
              <w:rPr>
                <w:rFonts w:ascii="Times New Roman" w:hAnsi="Times New Roman"/>
                <w:sz w:val="20"/>
              </w:rPr>
              <w:t>ca. 60.850 EUR/BTC</w:t>
            </w:r>
          </w:p>
        </w:tc>
        <w:tc>
          <w:tcPr>
            <w:tcW w:type="dxa" w:w="2268"/>
          </w:tcPr>
          <w:p>
            <w:r>
              <w:rPr>
                <w:rFonts w:ascii="Times New Roman" w:hAnsi="Times New Roman"/>
                <w:sz w:val="20"/>
              </w:rPr>
              <w:t>ca. 864.070 EUR</w:t>
            </w:r>
          </w:p>
        </w:tc>
      </w:tr>
      <w:tr>
        <w:tc>
          <w:tcPr>
            <w:tcW w:type="dxa" w:w="2268"/>
          </w:tcPr>
          <w:p>
            <w:r>
              <w:rPr>
                <w:rFonts w:ascii="Times New Roman" w:hAnsi="Times New Roman"/>
                <w:sz w:val="20"/>
              </w:rPr>
              <w:t>ETH</w:t>
            </w:r>
          </w:p>
        </w:tc>
        <w:tc>
          <w:tcPr>
            <w:tcW w:type="dxa" w:w="2268"/>
          </w:tcPr>
          <w:p>
            <w:r>
              <w:rPr>
                <w:rFonts w:ascii="Times New Roman" w:hAnsi="Times New Roman"/>
                <w:sz w:val="20"/>
              </w:rPr>
              <w:t>145,5 ETH</w:t>
            </w:r>
          </w:p>
        </w:tc>
        <w:tc>
          <w:tcPr>
            <w:tcW w:type="dxa" w:w="2268"/>
          </w:tcPr>
          <w:p>
            <w:r>
              <w:rPr>
                <w:rFonts w:ascii="Times New Roman" w:hAnsi="Times New Roman"/>
                <w:sz w:val="20"/>
              </w:rPr>
              <w:t>ca. 1.620 EUR/ETH</w:t>
            </w:r>
          </w:p>
        </w:tc>
        <w:tc>
          <w:tcPr>
            <w:tcW w:type="dxa" w:w="2268"/>
          </w:tcPr>
          <w:p>
            <w:r>
              <w:rPr>
                <w:rFonts w:ascii="Times New Roman" w:hAnsi="Times New Roman"/>
                <w:sz w:val="20"/>
              </w:rPr>
              <w:t>ca. 235.710 EUR</w:t>
            </w:r>
          </w:p>
        </w:tc>
      </w:tr>
      <w:tr>
        <w:tc>
          <w:tcPr>
            <w:tcW w:type="dxa" w:w="2268"/>
          </w:tcPr>
          <w:p>
            <w:r>
              <w:rPr>
                <w:rFonts w:ascii="Times New Roman" w:hAnsi="Times New Roman"/>
                <w:b/>
                <w:sz w:val="20"/>
              </w:rPr>
              <w:t>Gesamt</w:t>
            </w:r>
          </w:p>
        </w:tc>
        <w:tc>
          <w:tcPr>
            <w:tcW w:type="dxa" w:w="2268"/>
          </w:tcPr>
          <w:p/>
        </w:tc>
        <w:tc>
          <w:tcPr>
            <w:tcW w:type="dxa" w:w="2268"/>
          </w:tcPr>
          <w:p/>
        </w:tc>
        <w:tc>
          <w:tcPr>
            <w:tcW w:type="dxa" w:w="2268"/>
          </w:tcPr>
          <w:p>
            <w:r>
              <w:rPr>
                <w:rFonts w:ascii="Times New Roman" w:hAnsi="Times New Roman"/>
                <w:b/>
                <w:sz w:val="20"/>
              </w:rPr>
              <w:t>ca. 1.099.780 EUR</w:t>
            </w:r>
          </w:p>
        </w:tc>
      </w:tr>
    </w:tbl>
    <w:p>
      <w:pPr>
        <w:jc w:val="left"/>
      </w:pPr>
      <w:r>
        <w:t xml:space="preserve">Ansatz in Nachlassaufstellung: </w:t>
      </w:r>
      <w:r>
        <w:rPr>
          <w:b/>
        </w:rPr>
        <w:t>1.100.000 EUR</w:t>
      </w:r>
      <w:r>
        <w:t xml:space="preserve"> (gerundet).</w:t>
      </w:r>
    </w:p>
    <w:p>
      <w:pPr>
        <w:jc w:val="left"/>
      </w:pPr>
      <w:r>
        <w:rPr>
          <w:b/>
        </w:rPr>
        <w:t>Wichtig:</w:t>
      </w:r>
      <w:r>
        <w:t xml:space="preserve"> Ob diese Beträge vollständig Nachlassmasse sind oder ob Teile durch lebzeitige Schenkung an Constantin übertragen wurden, ist streitig. Für das initiale Verzeichnis wird der Gesamtbestand als Nachlass angesetzt; Auseinandersetzung → Aktenstück 08, 09, 10.</w:t>
      </w:r>
    </w:p>
    <w:p>
      <w:pPr>
        <w:pStyle w:val="Heading3"/>
      </w:pPr>
      <w:r>
        <w:rPr>
          <w:rFonts w:ascii="Times New Roman" w:hAnsi="Times New Roman"/>
        </w:rPr>
        <w:t>1.4 Lebensversicherung</w:t>
      </w:r>
    </w:p>
    <w:p>
      <w:pPr>
        <w:jc w:val="left"/>
      </w:pPr>
      <w:r>
        <w:rPr>
          <w:b/>
        </w:rPr>
        <w:t>Versicherungsgesellschaft:</w:t>
      </w:r>
      <w:r>
        <w:t xml:space="preserve"> Stuttgarter Lebensversicherung aG</w:t>
      </w:r>
    </w:p>
    <w:p>
      <w:pPr>
        <w:jc w:val="left"/>
      </w:pPr>
      <w:r>
        <w:rPr>
          <w:b/>
        </w:rPr>
        <w:t>Policennummer:</w:t>
      </w:r>
      <w:r>
        <w:t xml:space="preserve"> [geschwärzt]</w:t>
      </w:r>
    </w:p>
    <w:p>
      <w:pPr>
        <w:jc w:val="left"/>
      </w:pPr>
      <w:r>
        <w:rPr>
          <w:b/>
        </w:rPr>
        <w:t>Versicherungssumme:</w:t>
      </w:r>
      <w:r>
        <w:t xml:space="preserve"> 230.000 EUR</w:t>
      </w:r>
    </w:p>
    <w:p>
      <w:pPr>
        <w:jc w:val="left"/>
      </w:pPr>
      <w:r>
        <w:rPr>
          <w:b/>
        </w:rPr>
        <w:t>Bezugsberechtigte:</w:t>
      </w:r>
      <w:r>
        <w:t xml:space="preserve"> Marlies Edelmann-Praun (unwiderruflich benannt seit 2015)</w:t>
      </w:r>
    </w:p>
    <w:p>
      <w:pPr>
        <w:jc w:val="left"/>
      </w:pPr>
      <w:r>
        <w:rPr>
          <w:b/>
        </w:rPr>
        <w:t>Nachlasszugehörigkeit:</w:t>
      </w:r>
      <w:r>
        <w:t xml:space="preserve"> NEIN — die Lebensversicherung fällt als Bezugsberechtigung direkt an Marlies und ist nicht Bestandteil des Nachlasses (Paragraf 159 VVG iVm Paragraf 330 BGB). Für die Pflichtteilsergänzung ist jedoch zu prüfen, ob die Benennung als Bezugsberechtigte als Schenkung i.S.d. Paragraf 2325 BGB gilt (BGH 27.04.1994 IV ZR 91/93 zur Lebensversicherung als Schenkung; Frage ob unentgeltliche Zuwendung).</w:t>
      </w:r>
    </w:p>
    <w:p>
      <w:pPr>
        <w:pStyle w:val="Heading3"/>
      </w:pPr>
      <w:r>
        <w:rPr>
          <w:rFonts w:ascii="Times New Roman" w:hAnsi="Times New Roman"/>
        </w:rPr>
        <w:t>1.5 Kunstdrucke</w:t>
      </w:r>
    </w:p>
    <w:p>
      <w:pPr>
        <w:jc w:val="left"/>
      </w:pPr>
      <w:r>
        <w:rPr>
          <w:b/>
        </w:rPr>
        <w:t>Objekte:</w:t>
      </w:r>
      <w:r>
        <w:t xml:space="preserve"> Drei Druckgrafiken aus der Sammlung Edelmann, davon zwei Lithografien (signiert, Auflage), eine Radierung.</w:t>
      </w:r>
    </w:p>
    <w:p>
      <w:pPr>
        <w:jc w:val="left"/>
      </w:pPr>
      <w:r>
        <w:rPr>
          <w:b/>
        </w:rPr>
        <w:t>Schätzung:</w:t>
      </w:r>
      <w:r>
        <w:t xml:space="preserve"> Gutachterliche Einschätzung Auktionshaus Ketterer Stuttgart (informell, Termin 28.04.2025): Gesamtschätzwert </w:t>
      </w:r>
      <w:r>
        <w:rPr>
          <w:b/>
        </w:rPr>
        <w:t>88.000–95.000 EUR</w:t>
      </w:r>
      <w:r>
        <w:t xml:space="preserve">. Ansatz: </w:t>
      </w:r>
      <w:r>
        <w:rPr>
          <w:b/>
        </w:rPr>
        <w:t>90.000 EUR</w:t>
      </w:r>
      <w:r>
        <w:t>.</w:t>
      </w:r>
    </w:p>
    <w:p>
      <w:pPr>
        <w:jc w:val="left"/>
      </w:pPr>
      <w:r>
        <w:rPr>
          <w:b/>
        </w:rPr>
        <w:t>Standort:</w:t>
      </w:r>
      <w:r>
        <w:t xml:space="preserve"> Derzeit im Haus Sonnenbergstraße; Marlies hat Zugang.</w:t>
      </w:r>
    </w:p>
    <w:p>
      <w:pPr>
        <w:jc w:val="left"/>
      </w:pPr>
      <w:r>
        <w:rPr>
          <w:b/>
        </w:rPr>
        <w:t>Rechtslage:</w:t>
      </w:r>
      <w:r>
        <w:t xml:space="preserve"> Gegenstand der Erbengemeinschaft; Marlies hat auf Anfrage mitgeteilt, sie wolle die Bilder zunächst behalten. Risiko der Eigenmächtigkeit ist zu beobachten.</w:t>
      </w:r>
    </w:p>
    <w:p/>
    <w:p>
      <w:pPr>
        <w:pStyle w:val="Heading2"/>
      </w:pPr>
      <w:r>
        <w:rPr>
          <w:rFonts w:ascii="Times New Roman" w:hAnsi="Times New Roman"/>
        </w:rPr>
        <w:t>2. Passiva</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Verbindlichkeit</w:t>
            </w:r>
          </w:p>
        </w:tc>
        <w:tc>
          <w:tcPr>
            <w:tcW w:type="dxa" w:w="3024"/>
          </w:tcPr>
          <w:p>
            <w:r>
              <w:rPr>
                <w:rFonts w:ascii="Times New Roman" w:hAnsi="Times New Roman"/>
                <w:b/>
                <w:sz w:val="20"/>
              </w:rPr>
              <w:t>Betrag</w:t>
            </w:r>
          </w:p>
        </w:tc>
        <w:tc>
          <w:tcPr>
            <w:tcW w:type="dxa" w:w="3024"/>
          </w:tcPr>
          <w:p>
            <w:r>
              <w:rPr>
                <w:rFonts w:ascii="Times New Roman" w:hAnsi="Times New Roman"/>
                <w:b/>
                <w:sz w:val="20"/>
              </w:rPr>
              <w:t>Fälligkeit / Status</w:t>
            </w:r>
          </w:p>
        </w:tc>
      </w:tr>
      <w:tr>
        <w:tc>
          <w:tcPr>
            <w:tcW w:type="dxa" w:w="3024"/>
          </w:tcPr>
          <w:p>
            <w:r>
              <w:rPr>
                <w:rFonts w:ascii="Times New Roman" w:hAnsi="Times New Roman"/>
                <w:sz w:val="20"/>
              </w:rPr>
              <w:t>Steuernachzahlung Finanzamt Stuttgart-Süd (ESt-Bescheid 2022)</w:t>
            </w:r>
          </w:p>
        </w:tc>
        <w:tc>
          <w:tcPr>
            <w:tcW w:type="dxa" w:w="3024"/>
          </w:tcPr>
          <w:p>
            <w:r>
              <w:rPr>
                <w:rFonts w:ascii="Times New Roman" w:hAnsi="Times New Roman"/>
                <w:sz w:val="20"/>
              </w:rPr>
              <w:t>38.400 EUR</w:t>
            </w:r>
          </w:p>
        </w:tc>
        <w:tc>
          <w:tcPr>
            <w:tcW w:type="dxa" w:w="3024"/>
          </w:tcPr>
          <w:p>
            <w:r>
              <w:rPr>
                <w:rFonts w:ascii="Times New Roman" w:hAnsi="Times New Roman"/>
                <w:sz w:val="20"/>
              </w:rPr>
              <w:t>fällig 15.01.2025 — noch offen; Vollstreckg. ruhend wegen Erbfall</w:t>
            </w:r>
          </w:p>
        </w:tc>
      </w:tr>
      <w:tr>
        <w:tc>
          <w:tcPr>
            <w:tcW w:type="dxa" w:w="3024"/>
          </w:tcPr>
          <w:p>
            <w:r>
              <w:rPr>
                <w:rFonts w:ascii="Times New Roman" w:hAnsi="Times New Roman"/>
                <w:sz w:val="20"/>
              </w:rPr>
              <w:t>Pflegekosten Caritas-Pflegedienst Stuttgart (Aug.–Feb. 2025)</w:t>
            </w:r>
          </w:p>
        </w:tc>
        <w:tc>
          <w:tcPr>
            <w:tcW w:type="dxa" w:w="3024"/>
          </w:tcPr>
          <w:p>
            <w:r>
              <w:rPr>
                <w:rFonts w:ascii="Times New Roman" w:hAnsi="Times New Roman"/>
                <w:sz w:val="20"/>
              </w:rPr>
              <w:t>22.640 EUR</w:t>
            </w:r>
          </w:p>
        </w:tc>
        <w:tc>
          <w:tcPr>
            <w:tcW w:type="dxa" w:w="3024"/>
          </w:tcPr>
          <w:p>
            <w:r>
              <w:rPr>
                <w:rFonts w:ascii="Times New Roman" w:hAnsi="Times New Roman"/>
                <w:sz w:val="20"/>
              </w:rPr>
              <w:t>Rechnung liegt vor, nicht bezahlt</w:t>
            </w:r>
          </w:p>
        </w:tc>
      </w:tr>
      <w:tr>
        <w:tc>
          <w:tcPr>
            <w:tcW w:type="dxa" w:w="3024"/>
          </w:tcPr>
          <w:p>
            <w:r>
              <w:rPr>
                <w:rFonts w:ascii="Times New Roman" w:hAnsi="Times New Roman"/>
                <w:sz w:val="20"/>
              </w:rPr>
              <w:t>Haushaltskosten rückständig (Gas, Strom, Kommunalabgaben)</w:t>
            </w:r>
          </w:p>
        </w:tc>
        <w:tc>
          <w:tcPr>
            <w:tcW w:type="dxa" w:w="3024"/>
          </w:tcPr>
          <w:p>
            <w:r>
              <w:rPr>
                <w:rFonts w:ascii="Times New Roman" w:hAnsi="Times New Roman"/>
                <w:sz w:val="20"/>
              </w:rPr>
              <w:t>4.200 EUR</w:t>
            </w:r>
          </w:p>
        </w:tc>
        <w:tc>
          <w:tcPr>
            <w:tcW w:type="dxa" w:w="3024"/>
          </w:tcPr>
          <w:p>
            <w:r>
              <w:rPr>
                <w:rFonts w:ascii="Times New Roman" w:hAnsi="Times New Roman"/>
                <w:sz w:val="20"/>
              </w:rPr>
              <w:t>anteilig 2024 offen</w:t>
            </w:r>
          </w:p>
        </w:tc>
      </w:tr>
      <w:tr>
        <w:tc>
          <w:tcPr>
            <w:tcW w:type="dxa" w:w="3024"/>
          </w:tcPr>
          <w:p>
            <w:r>
              <w:rPr>
                <w:rFonts w:ascii="Times New Roman" w:hAnsi="Times New Roman"/>
                <w:sz w:val="20"/>
              </w:rPr>
              <w:t>Bestattungskosten (Waldfriedhof)</w:t>
            </w:r>
          </w:p>
        </w:tc>
        <w:tc>
          <w:tcPr>
            <w:tcW w:type="dxa" w:w="3024"/>
          </w:tcPr>
          <w:p>
            <w:r>
              <w:rPr>
                <w:rFonts w:ascii="Times New Roman" w:hAnsi="Times New Roman"/>
                <w:sz w:val="20"/>
              </w:rPr>
              <w:t>8.700 EUR</w:t>
            </w:r>
          </w:p>
        </w:tc>
        <w:tc>
          <w:tcPr>
            <w:tcW w:type="dxa" w:w="3024"/>
          </w:tcPr>
          <w:p>
            <w:r>
              <w:rPr>
                <w:rFonts w:ascii="Times New Roman" w:hAnsi="Times New Roman"/>
                <w:sz w:val="20"/>
              </w:rPr>
              <w:t>bezahlt durch Marlies, Erstattungsanspruch gegen Nachlass</w:t>
            </w:r>
          </w:p>
        </w:tc>
      </w:tr>
      <w:tr>
        <w:tc>
          <w:tcPr>
            <w:tcW w:type="dxa" w:w="3024"/>
          </w:tcPr>
          <w:p>
            <w:r>
              <w:rPr>
                <w:rFonts w:ascii="Times New Roman" w:hAnsi="Times New Roman"/>
                <w:sz w:val="20"/>
              </w:rPr>
              <w:t>Sonstiges (Kreditkarte)</w:t>
            </w:r>
          </w:p>
        </w:tc>
        <w:tc>
          <w:tcPr>
            <w:tcW w:type="dxa" w:w="3024"/>
          </w:tcPr>
          <w:p>
            <w:r>
              <w:rPr>
                <w:rFonts w:ascii="Times New Roman" w:hAnsi="Times New Roman"/>
                <w:sz w:val="20"/>
              </w:rPr>
              <w:t>4.060 EUR</w:t>
            </w:r>
          </w:p>
        </w:tc>
        <w:tc>
          <w:tcPr>
            <w:tcW w:type="dxa" w:w="3024"/>
          </w:tcPr>
          <w:p>
            <w:r>
              <w:rPr>
                <w:rFonts w:ascii="Times New Roman" w:hAnsi="Times New Roman"/>
                <w:sz w:val="20"/>
              </w:rPr>
              <w:t>laut Kontoauszug Dezember 2024</w:t>
            </w:r>
          </w:p>
        </w:tc>
      </w:tr>
      <w:tr>
        <w:tc>
          <w:tcPr>
            <w:tcW w:type="dxa" w:w="3024"/>
          </w:tcPr>
          <w:p>
            <w:r>
              <w:rPr>
                <w:rFonts w:ascii="Times New Roman" w:hAnsi="Times New Roman"/>
                <w:b/>
                <w:sz w:val="20"/>
              </w:rPr>
              <w:t>Summe Passiva</w:t>
            </w:r>
          </w:p>
        </w:tc>
        <w:tc>
          <w:tcPr>
            <w:tcW w:type="dxa" w:w="3024"/>
          </w:tcPr>
          <w:p>
            <w:r>
              <w:rPr>
                <w:rFonts w:ascii="Times New Roman" w:hAnsi="Times New Roman"/>
                <w:b/>
                <w:sz w:val="20"/>
              </w:rPr>
              <w:t>78.000 EUR</w:t>
            </w:r>
          </w:p>
        </w:tc>
        <w:tc>
          <w:tcPr>
            <w:tcW w:type="dxa" w:w="3024"/>
          </w:tcPr>
          <w:p/>
        </w:tc>
      </w:tr>
    </w:tbl>
    <w:p/>
    <w:p>
      <w:pPr>
        <w:pStyle w:val="Heading2"/>
      </w:pPr>
      <w:r>
        <w:rPr>
          <w:rFonts w:ascii="Times New Roman" w:hAnsi="Times New Roman"/>
        </w:rPr>
        <w:t>3. Reinnachlass (vorläufig)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Grundstück</w:t>
            </w:r>
          </w:p>
        </w:tc>
        <w:tc>
          <w:tcPr>
            <w:tcW w:type="dxa" w:w="4536"/>
          </w:tcPr>
          <w:p>
            <w:r>
              <w:rPr>
                <w:rFonts w:ascii="Times New Roman" w:hAnsi="Times New Roman"/>
                <w:sz w:val="20"/>
              </w:rPr>
              <w:t>1.850.000 EUR</w:t>
            </w:r>
          </w:p>
        </w:tc>
      </w:tr>
      <w:tr>
        <w:tc>
          <w:tcPr>
            <w:tcW w:type="dxa" w:w="4536"/>
          </w:tcPr>
          <w:p>
            <w:r>
              <w:rPr>
                <w:rFonts w:ascii="Times New Roman" w:hAnsi="Times New Roman"/>
                <w:sz w:val="20"/>
              </w:rPr>
              <w:t>Wertpapierdepot</w:t>
            </w:r>
          </w:p>
        </w:tc>
        <w:tc>
          <w:tcPr>
            <w:tcW w:type="dxa" w:w="4536"/>
          </w:tcPr>
          <w:p>
            <w:r>
              <w:rPr>
                <w:rFonts w:ascii="Times New Roman" w:hAnsi="Times New Roman"/>
                <w:sz w:val="20"/>
              </w:rPr>
              <w:t>1.120.000 EUR</w:t>
            </w:r>
          </w:p>
        </w:tc>
      </w:tr>
      <w:tr>
        <w:tc>
          <w:tcPr>
            <w:tcW w:type="dxa" w:w="4536"/>
          </w:tcPr>
          <w:p>
            <w:r>
              <w:rPr>
                <w:rFonts w:ascii="Times New Roman" w:hAnsi="Times New Roman"/>
                <w:sz w:val="20"/>
              </w:rPr>
              <w:t>Kryptowährungen</w:t>
            </w:r>
          </w:p>
        </w:tc>
        <w:tc>
          <w:tcPr>
            <w:tcW w:type="dxa" w:w="4536"/>
          </w:tcPr>
          <w:p>
            <w:r>
              <w:rPr>
                <w:rFonts w:ascii="Times New Roman" w:hAnsi="Times New Roman"/>
                <w:sz w:val="20"/>
              </w:rPr>
              <w:t>1.100.000 EUR</w:t>
            </w:r>
          </w:p>
        </w:tc>
      </w:tr>
      <w:tr>
        <w:tc>
          <w:tcPr>
            <w:tcW w:type="dxa" w:w="4536"/>
          </w:tcPr>
          <w:p>
            <w:r>
              <w:rPr>
                <w:rFonts w:ascii="Times New Roman" w:hAnsi="Times New Roman"/>
                <w:sz w:val="20"/>
              </w:rPr>
              <w:t>Kunstdrucke</w:t>
            </w:r>
          </w:p>
        </w:tc>
        <w:tc>
          <w:tcPr>
            <w:tcW w:type="dxa" w:w="4536"/>
          </w:tcPr>
          <w:p>
            <w:r>
              <w:rPr>
                <w:rFonts w:ascii="Times New Roman" w:hAnsi="Times New Roman"/>
                <w:sz w:val="20"/>
              </w:rPr>
              <w:t>90.000 EUR</w:t>
            </w:r>
          </w:p>
        </w:tc>
      </w:tr>
      <w:tr>
        <w:tc>
          <w:tcPr>
            <w:tcW w:type="dxa" w:w="4536"/>
          </w:tcPr>
          <w:p>
            <w:r>
              <w:rPr>
                <w:rFonts w:ascii="Times New Roman" w:hAnsi="Times New Roman"/>
                <w:sz w:val="20"/>
              </w:rPr>
              <w:t>Lebensversicherung</w:t>
            </w:r>
          </w:p>
        </w:tc>
        <w:tc>
          <w:tcPr>
            <w:tcW w:type="dxa" w:w="4536"/>
          </w:tcPr>
          <w:p>
            <w:r>
              <w:rPr>
                <w:rFonts w:ascii="Times New Roman" w:hAnsi="Times New Roman"/>
                <w:sz w:val="20"/>
              </w:rPr>
              <w:t>— (kein Nachlass)</w:t>
            </w:r>
          </w:p>
        </w:tc>
      </w:tr>
      <w:tr>
        <w:tc>
          <w:tcPr>
            <w:tcW w:type="dxa" w:w="4536"/>
          </w:tcPr>
          <w:p>
            <w:r>
              <w:rPr>
                <w:rFonts w:ascii="Times New Roman" w:hAnsi="Times New Roman"/>
                <w:b/>
                <w:sz w:val="20"/>
              </w:rPr>
              <w:t>Summe Aktiva</w:t>
            </w:r>
          </w:p>
        </w:tc>
        <w:tc>
          <w:tcPr>
            <w:tcW w:type="dxa" w:w="4536"/>
          </w:tcPr>
          <w:p>
            <w:r>
              <w:rPr>
                <w:rFonts w:ascii="Times New Roman" w:hAnsi="Times New Roman"/>
                <w:b/>
                <w:sz w:val="20"/>
              </w:rPr>
              <w:t>4.160.000 EUR</w:t>
            </w:r>
          </w:p>
        </w:tc>
      </w:tr>
      <w:tr>
        <w:tc>
          <w:tcPr>
            <w:tcW w:type="dxa" w:w="4536"/>
          </w:tcPr>
          <w:p>
            <w:r>
              <w:rPr>
                <w:rFonts w:ascii="Times New Roman" w:hAnsi="Times New Roman"/>
                <w:sz w:val="20"/>
              </w:rPr>
              <w:t>./. Passiva</w:t>
            </w:r>
          </w:p>
        </w:tc>
        <w:tc>
          <w:tcPr>
            <w:tcW w:type="dxa" w:w="4536"/>
          </w:tcPr>
          <w:p>
            <w:r>
              <w:rPr>
                <w:rFonts w:ascii="Times New Roman" w:hAnsi="Times New Roman"/>
                <w:sz w:val="20"/>
              </w:rPr>
              <w:t>−78.000 EUR</w:t>
            </w:r>
          </w:p>
        </w:tc>
      </w:tr>
      <w:tr>
        <w:tc>
          <w:tcPr>
            <w:tcW w:type="dxa" w:w="4536"/>
          </w:tcPr>
          <w:p>
            <w:r>
              <w:rPr>
                <w:rFonts w:ascii="Times New Roman" w:hAnsi="Times New Roman"/>
                <w:b/>
                <w:sz w:val="20"/>
              </w:rPr>
              <w:t>Reinnachlass</w:t>
            </w:r>
          </w:p>
        </w:tc>
        <w:tc>
          <w:tcPr>
            <w:tcW w:type="dxa" w:w="4536"/>
          </w:tcPr>
          <w:p>
            <w:r>
              <w:rPr>
                <w:rFonts w:ascii="Times New Roman" w:hAnsi="Times New Roman"/>
                <w:b/>
                <w:sz w:val="20"/>
              </w:rPr>
              <w:t>4.082.000 EUR</w:t>
            </w:r>
          </w:p>
        </w:tc>
      </w:tr>
    </w:tbl>
    <w:p>
      <w:pPr>
        <w:jc w:val="left"/>
      </w:pPr>
      <w:r>
        <w:rPr>
          <w:b/>
        </w:rPr>
        <w:t>Streitbehafteter Betrag:</w:t>
      </w:r>
      <w:r>
        <w:t xml:space="preserve"> Krypto-Assets; je nach Zuordnung (ganz oder teilweise Schenkung an Constantin) könnte der Nachlasswert zwischen ca. 2.980.000 EUR und 4.082.000 EUR liegen. Die Pflichtteilsberechnung → Aktenstück 11 ist mit beiden Szenarien zu führen.</w:t>
      </w:r>
    </w:p>
    <w:p/>
    <w:p>
      <w:pPr>
        <w:pStyle w:val="Heading2"/>
      </w:pPr>
      <w:r>
        <w:rPr>
          <w:rFonts w:ascii="Times New Roman" w:hAnsi="Times New Roman"/>
        </w:rPr>
        <w:t>4. Bewertungsrisiken und offene Fragen</w:t>
      </w:r>
    </w:p>
    <w:p>
      <w:pPr>
        <w:pStyle w:val="ListNumber"/>
      </w:pPr>
      <w:r>
        <w:rPr>
          <w:b/>
        </w:rPr>
        <w:t>Grundstückswert:</w:t>
      </w:r>
      <w:r>
        <w:t xml:space="preserve"> Zweites Sachverständigengutachten von Marlies angekündigt; Abweichungen möglich.</w:t>
      </w:r>
    </w:p>
    <w:p>
      <w:pPr>
        <w:pStyle w:val="ListNumber"/>
      </w:pPr>
      <w:r>
        <w:rPr>
          <w:b/>
        </w:rPr>
        <w:t>Kryptokurs:</w:t>
      </w:r>
      <w:r>
        <w:t xml:space="preserve"> Der Kurs schwankt erheblich. Maßgeblicher Zeitpunkt für die Pflichtteilsergänzung ist der Stichtag der Schenkung, nicht der Todestag (Paragraf 2325 Abs. 2 BGB i.d.F. seit 2010: „Wert im Zeitpunkt des Erbfalls" für den Nachlasswert; für die Ergänzungsberechnung Schenkungswert zum Zeitpunkt der Schenkung für den Abzug, Erbfallwert für den Grundbetrag — komplexe Wechselwirkung).</w:t>
      </w:r>
    </w:p>
    <w:p>
      <w:pPr>
        <w:pStyle w:val="ListNumber"/>
      </w:pPr>
      <w:r>
        <w:rPr>
          <w:b/>
        </w:rPr>
        <w:t>Depotauszug Stichtag:</w:t>
      </w:r>
      <w:r>
        <w:t xml:space="preserve"> Noch nicht erhalten; Kanzlei hat Vollmacht vorgelegt, Bank prüft noch Erbscheinerfordernis.</w:t>
      </w:r>
    </w:p>
    <w:p>
      <w:pPr>
        <w:pStyle w:val="ListNumber"/>
      </w:pPr>
      <w:r>
        <w:rPr>
          <w:b/>
        </w:rPr>
        <w:t>Steuererbschaftsanzeige nach Paragraf 30 ErbStG:</w:t>
      </w:r>
      <w:r>
        <w:t xml:space="preserve"> Meldefrist drei Monate ab Kenntnis — läuft. Details → Aktenstück 23.</w:t>
      </w:r>
    </w:p>
    <w:p>
      <w:pPr>
        <w:jc w:val="left"/>
      </w:pPr>
      <w:r>
        <w:t xml:space="preserve">Ausführliche Excel-Tabelle: </w:t>
      </w:r>
      <w:r>
        <w:t>xlsx/nachlassverzeichnis_aktiv_passiv.xlsx</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