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Wertpapierdepot Bankhaus Lampe-Hauck — Bestandsaufnahme</w:t>
      </w:r>
    </w:p>
    <w:p>
      <w:pPr>
        <w:jc w:val="left"/>
      </w:pPr>
      <w:r>
        <w:rPr>
          <w:b/>
        </w:rPr>
        <w:t>Az.:</w:t>
      </w:r>
      <w:r>
        <w:t xml:space="preserve"> KlKette 025/0422-ERB-EDE</w:t>
      </w:r>
    </w:p>
    <w:p>
      <w:pPr>
        <w:jc w:val="left"/>
      </w:pPr>
      <w:r>
        <w:rPr>
          <w:b/>
        </w:rPr>
        <w:t>Depotbank:</w:t>
      </w:r>
      <w:r>
        <w:t xml:space="preserve"> Bankhaus Lampe-Hauck &amp; Cie., Schellingstraße 28, 70174 Stuttgart (Privatbank)</w:t>
      </w:r>
    </w:p>
    <w:p>
      <w:pPr>
        <w:jc w:val="left"/>
      </w:pPr>
      <w:r>
        <w:rPr>
          <w:b/>
        </w:rPr>
        <w:t>Depotinhaber:</w:t>
      </w:r>
      <w:r>
        <w:t xml:space="preserve"> Prof. Dr. Reinhard Edelmann (†)</w:t>
      </w:r>
    </w:p>
    <w:p>
      <w:pPr>
        <w:jc w:val="left"/>
      </w:pPr>
      <w:r>
        <w:rPr>
          <w:b/>
        </w:rPr>
        <w:t>Stand der Informationen:</w:t>
      </w:r>
      <w:r>
        <w:t xml:space="preserve"> Jahresabschluss 31.12.2024 (Kopie aus Mandantenunterlagen); Stichtagswerte 12.03.2025 noch ausstehend</w:t>
      </w:r>
    </w:p>
    <w:p>
      <w:pPr>
        <w:jc w:val="left"/>
      </w:pPr>
      <w:r>
        <w:rPr>
          <w:b/>
        </w:rPr>
        <w:t>Bearbeitung:</w:t>
      </w:r>
      <w:r>
        <w:t xml:space="preserve"> RAin Steinkamp / Ref. Fust, Stand 08.05.2025</w:t>
      </w:r>
    </w:p>
    <w:p/>
    <w:p>
      <w:pPr>
        <w:pStyle w:val="Heading2"/>
      </w:pPr>
      <w:r>
        <w:rPr>
          <w:rFonts w:ascii="Times New Roman" w:hAnsi="Times New Roman"/>
        </w:rPr>
        <w:t>1. Depotbestand zum 31.12.2024</w:t>
      </w:r>
    </w:p>
    <w:p>
      <w:pPr>
        <w:jc w:val="left"/>
      </w:pPr>
      <w:r>
        <w:t>Das Depot bei Bankhaus Lampe-Hauck ist ein konservativ gemanagtes Privatvermögensdepot, das Edelmann nach seiner Emeritierung 2014 mit einem Ausgangsbestand von ca. 820.000 EUR eingerichtet hatte.</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rFonts w:ascii="Times New Roman" w:hAnsi="Times New Roman"/>
                <w:b/>
                <w:sz w:val="20"/>
              </w:rPr>
              <w:t>ISIN</w:t>
            </w:r>
          </w:p>
        </w:tc>
        <w:tc>
          <w:tcPr>
            <w:tcW w:type="dxa" w:w="1814"/>
          </w:tcPr>
          <w:p>
            <w:r>
              <w:rPr>
                <w:rFonts w:ascii="Times New Roman" w:hAnsi="Times New Roman"/>
                <w:b/>
                <w:sz w:val="20"/>
              </w:rPr>
              <w:t>Bezeichnung</w:t>
            </w:r>
          </w:p>
        </w:tc>
        <w:tc>
          <w:tcPr>
            <w:tcW w:type="dxa" w:w="1814"/>
          </w:tcPr>
          <w:p>
            <w:r>
              <w:rPr>
                <w:rFonts w:ascii="Times New Roman" w:hAnsi="Times New Roman"/>
                <w:b/>
                <w:sz w:val="20"/>
              </w:rPr>
              <w:t>Stücke / Nominal</w:t>
            </w:r>
          </w:p>
        </w:tc>
        <w:tc>
          <w:tcPr>
            <w:tcW w:type="dxa" w:w="1814"/>
          </w:tcPr>
          <w:p>
            <w:r>
              <w:rPr>
                <w:rFonts w:ascii="Times New Roman" w:hAnsi="Times New Roman"/>
                <w:b/>
                <w:sz w:val="20"/>
              </w:rPr>
              <w:t>Kurs 31.12.2024</w:t>
            </w:r>
          </w:p>
        </w:tc>
        <w:tc>
          <w:tcPr>
            <w:tcW w:type="dxa" w:w="1814"/>
          </w:tcPr>
          <w:p>
            <w:r>
              <w:rPr>
                <w:rFonts w:ascii="Times New Roman" w:hAnsi="Times New Roman"/>
                <w:b/>
                <w:sz w:val="20"/>
              </w:rPr>
              <w:t>EUR-Wert 31.12.2024</w:t>
            </w:r>
          </w:p>
        </w:tc>
      </w:tr>
      <w:tr>
        <w:tc>
          <w:tcPr>
            <w:tcW w:type="dxa" w:w="1814"/>
          </w:tcPr>
          <w:p>
            <w:r>
              <w:rPr>
                <w:rFonts w:ascii="Times New Roman" w:hAnsi="Times New Roman"/>
                <w:sz w:val="20"/>
              </w:rPr>
              <w:t>DE0005140008</w:t>
            </w:r>
          </w:p>
        </w:tc>
        <w:tc>
          <w:tcPr>
            <w:tcW w:type="dxa" w:w="1814"/>
          </w:tcPr>
          <w:p>
            <w:r>
              <w:rPr>
                <w:rFonts w:ascii="Times New Roman" w:hAnsi="Times New Roman"/>
                <w:sz w:val="20"/>
              </w:rPr>
              <w:t>Deutsche Bank AG, Inhaber-Aktien</w:t>
            </w:r>
          </w:p>
        </w:tc>
        <w:tc>
          <w:tcPr>
            <w:tcW w:type="dxa" w:w="1814"/>
          </w:tcPr>
          <w:p>
            <w:r>
              <w:rPr>
                <w:rFonts w:ascii="Times New Roman" w:hAnsi="Times New Roman"/>
                <w:sz w:val="20"/>
              </w:rPr>
              <w:t>1.200</w:t>
            </w:r>
          </w:p>
        </w:tc>
        <w:tc>
          <w:tcPr>
            <w:tcW w:type="dxa" w:w="1814"/>
          </w:tcPr>
          <w:p>
            <w:r>
              <w:rPr>
                <w:rFonts w:ascii="Times New Roman" w:hAnsi="Times New Roman"/>
                <w:sz w:val="20"/>
              </w:rPr>
              <w:t>14,82 EUR</w:t>
            </w:r>
          </w:p>
        </w:tc>
        <w:tc>
          <w:tcPr>
            <w:tcW w:type="dxa" w:w="1814"/>
          </w:tcPr>
          <w:p>
            <w:r>
              <w:rPr>
                <w:rFonts w:ascii="Times New Roman" w:hAnsi="Times New Roman"/>
                <w:sz w:val="20"/>
              </w:rPr>
              <w:t>17.784 EUR</w:t>
            </w:r>
          </w:p>
        </w:tc>
      </w:tr>
      <w:tr>
        <w:tc>
          <w:tcPr>
            <w:tcW w:type="dxa" w:w="1814"/>
          </w:tcPr>
          <w:p>
            <w:r>
              <w:rPr>
                <w:rFonts w:ascii="Times New Roman" w:hAnsi="Times New Roman"/>
                <w:sz w:val="20"/>
              </w:rPr>
              <w:t>DE000A0WMPJ6</w:t>
            </w:r>
          </w:p>
        </w:tc>
        <w:tc>
          <w:tcPr>
            <w:tcW w:type="dxa" w:w="1814"/>
          </w:tcPr>
          <w:p>
            <w:r>
              <w:rPr>
                <w:rFonts w:ascii="Times New Roman" w:hAnsi="Times New Roman"/>
                <w:sz w:val="20"/>
              </w:rPr>
              <w:t>BASF SE, Inhaber-Aktien</w:t>
            </w:r>
          </w:p>
        </w:tc>
        <w:tc>
          <w:tcPr>
            <w:tcW w:type="dxa" w:w="1814"/>
          </w:tcPr>
          <w:p>
            <w:r>
              <w:rPr>
                <w:rFonts w:ascii="Times New Roman" w:hAnsi="Times New Roman"/>
                <w:sz w:val="20"/>
              </w:rPr>
              <w:t>850</w:t>
            </w:r>
          </w:p>
        </w:tc>
        <w:tc>
          <w:tcPr>
            <w:tcW w:type="dxa" w:w="1814"/>
          </w:tcPr>
          <w:p>
            <w:r>
              <w:rPr>
                <w:rFonts w:ascii="Times New Roman" w:hAnsi="Times New Roman"/>
                <w:sz w:val="20"/>
              </w:rPr>
              <w:t>42,15 EUR</w:t>
            </w:r>
          </w:p>
        </w:tc>
        <w:tc>
          <w:tcPr>
            <w:tcW w:type="dxa" w:w="1814"/>
          </w:tcPr>
          <w:p>
            <w:r>
              <w:rPr>
                <w:rFonts w:ascii="Times New Roman" w:hAnsi="Times New Roman"/>
                <w:sz w:val="20"/>
              </w:rPr>
              <w:t>35.828 EUR</w:t>
            </w:r>
          </w:p>
        </w:tc>
      </w:tr>
      <w:tr>
        <w:tc>
          <w:tcPr>
            <w:tcW w:type="dxa" w:w="1814"/>
          </w:tcPr>
          <w:p>
            <w:r>
              <w:rPr>
                <w:rFonts w:ascii="Times New Roman" w:hAnsi="Times New Roman"/>
                <w:sz w:val="20"/>
              </w:rPr>
              <w:t>DE000BAY0017</w:t>
            </w:r>
          </w:p>
        </w:tc>
        <w:tc>
          <w:tcPr>
            <w:tcW w:type="dxa" w:w="1814"/>
          </w:tcPr>
          <w:p>
            <w:r>
              <w:rPr>
                <w:rFonts w:ascii="Times New Roman" w:hAnsi="Times New Roman"/>
                <w:sz w:val="20"/>
              </w:rPr>
              <w:t>Bayer AG, Inhaber-Aktien</w:t>
            </w:r>
          </w:p>
        </w:tc>
        <w:tc>
          <w:tcPr>
            <w:tcW w:type="dxa" w:w="1814"/>
          </w:tcPr>
          <w:p>
            <w:r>
              <w:rPr>
                <w:rFonts w:ascii="Times New Roman" w:hAnsi="Times New Roman"/>
                <w:sz w:val="20"/>
              </w:rPr>
              <w:t>600</w:t>
            </w:r>
          </w:p>
        </w:tc>
        <w:tc>
          <w:tcPr>
            <w:tcW w:type="dxa" w:w="1814"/>
          </w:tcPr>
          <w:p>
            <w:r>
              <w:rPr>
                <w:rFonts w:ascii="Times New Roman" w:hAnsi="Times New Roman"/>
                <w:sz w:val="20"/>
              </w:rPr>
              <w:t>22,60 EUR</w:t>
            </w:r>
          </w:p>
        </w:tc>
        <w:tc>
          <w:tcPr>
            <w:tcW w:type="dxa" w:w="1814"/>
          </w:tcPr>
          <w:p>
            <w:r>
              <w:rPr>
                <w:rFonts w:ascii="Times New Roman" w:hAnsi="Times New Roman"/>
                <w:sz w:val="20"/>
              </w:rPr>
              <w:t>13.560 EUR</w:t>
            </w:r>
          </w:p>
        </w:tc>
      </w:tr>
      <w:tr>
        <w:tc>
          <w:tcPr>
            <w:tcW w:type="dxa" w:w="1814"/>
          </w:tcPr>
          <w:p>
            <w:r>
              <w:rPr>
                <w:rFonts w:ascii="Times New Roman" w:hAnsi="Times New Roman"/>
                <w:sz w:val="20"/>
              </w:rPr>
              <w:t>LU0323578657</w:t>
            </w:r>
          </w:p>
        </w:tc>
        <w:tc>
          <w:tcPr>
            <w:tcW w:type="dxa" w:w="1814"/>
          </w:tcPr>
          <w:p>
            <w:r>
              <w:rPr>
                <w:rFonts w:ascii="Times New Roman" w:hAnsi="Times New Roman"/>
                <w:sz w:val="20"/>
              </w:rPr>
              <w:t>DWS Invest ESG Equity Income LC</w:t>
            </w:r>
          </w:p>
        </w:tc>
        <w:tc>
          <w:tcPr>
            <w:tcW w:type="dxa" w:w="1814"/>
          </w:tcPr>
          <w:p>
            <w:r>
              <w:rPr>
                <w:rFonts w:ascii="Times New Roman" w:hAnsi="Times New Roman"/>
                <w:sz w:val="20"/>
              </w:rPr>
              <w:t>2.100 Ant.</w:t>
            </w:r>
          </w:p>
        </w:tc>
        <w:tc>
          <w:tcPr>
            <w:tcW w:type="dxa" w:w="1814"/>
          </w:tcPr>
          <w:p>
            <w:r>
              <w:rPr>
                <w:rFonts w:ascii="Times New Roman" w:hAnsi="Times New Roman"/>
                <w:sz w:val="20"/>
              </w:rPr>
              <w:t>156,44 EUR</w:t>
            </w:r>
          </w:p>
        </w:tc>
        <w:tc>
          <w:tcPr>
            <w:tcW w:type="dxa" w:w="1814"/>
          </w:tcPr>
          <w:p>
            <w:r>
              <w:rPr>
                <w:rFonts w:ascii="Times New Roman" w:hAnsi="Times New Roman"/>
                <w:sz w:val="20"/>
              </w:rPr>
              <w:t>328.524 EUR</w:t>
            </w:r>
          </w:p>
        </w:tc>
      </w:tr>
      <w:tr>
        <w:tc>
          <w:tcPr>
            <w:tcW w:type="dxa" w:w="1814"/>
          </w:tcPr>
          <w:p>
            <w:r>
              <w:rPr>
                <w:rFonts w:ascii="Times New Roman" w:hAnsi="Times New Roman"/>
                <w:sz w:val="20"/>
              </w:rPr>
              <w:t>LU0119216553</w:t>
            </w:r>
          </w:p>
        </w:tc>
        <w:tc>
          <w:tcPr>
            <w:tcW w:type="dxa" w:w="1814"/>
          </w:tcPr>
          <w:p>
            <w:r>
              <w:rPr>
                <w:rFonts w:ascii="Times New Roman" w:hAnsi="Times New Roman"/>
                <w:sz w:val="20"/>
              </w:rPr>
              <w:t>Templeton Global Bond Fund A(acc) EUR</w:t>
            </w:r>
          </w:p>
        </w:tc>
        <w:tc>
          <w:tcPr>
            <w:tcW w:type="dxa" w:w="1814"/>
          </w:tcPr>
          <w:p>
            <w:r>
              <w:rPr>
                <w:rFonts w:ascii="Times New Roman" w:hAnsi="Times New Roman"/>
                <w:sz w:val="20"/>
              </w:rPr>
              <w:t>4.200 Ant.</w:t>
            </w:r>
          </w:p>
        </w:tc>
        <w:tc>
          <w:tcPr>
            <w:tcW w:type="dxa" w:w="1814"/>
          </w:tcPr>
          <w:p>
            <w:r>
              <w:rPr>
                <w:rFonts w:ascii="Times New Roman" w:hAnsi="Times New Roman"/>
                <w:sz w:val="20"/>
              </w:rPr>
              <w:t>8,22 EUR</w:t>
            </w:r>
          </w:p>
        </w:tc>
        <w:tc>
          <w:tcPr>
            <w:tcW w:type="dxa" w:w="1814"/>
          </w:tcPr>
          <w:p>
            <w:r>
              <w:rPr>
                <w:rFonts w:ascii="Times New Roman" w:hAnsi="Times New Roman"/>
                <w:sz w:val="20"/>
              </w:rPr>
              <w:t>34.524 EUR</w:t>
            </w:r>
          </w:p>
        </w:tc>
      </w:tr>
      <w:tr>
        <w:tc>
          <w:tcPr>
            <w:tcW w:type="dxa" w:w="1814"/>
          </w:tcPr>
          <w:p>
            <w:r>
              <w:rPr>
                <w:rFonts w:ascii="Times New Roman" w:hAnsi="Times New Roman"/>
                <w:sz w:val="20"/>
              </w:rPr>
              <w:t>DE0001102309</w:t>
            </w:r>
          </w:p>
        </w:tc>
        <w:tc>
          <w:tcPr>
            <w:tcW w:type="dxa" w:w="1814"/>
          </w:tcPr>
          <w:p>
            <w:r>
              <w:rPr>
                <w:rFonts w:ascii="Times New Roman" w:hAnsi="Times New Roman"/>
                <w:sz w:val="20"/>
              </w:rPr>
              <w:t>Bundesanleihe 2,30 % 08/2034, Nominal 300.000 EUR</w:t>
            </w:r>
          </w:p>
        </w:tc>
        <w:tc>
          <w:tcPr>
            <w:tcW w:type="dxa" w:w="1814"/>
          </w:tcPr>
          <w:p>
            <w:r>
              <w:rPr>
                <w:rFonts w:ascii="Times New Roman" w:hAnsi="Times New Roman"/>
                <w:sz w:val="20"/>
              </w:rPr>
              <w:t>300.000</w:t>
            </w:r>
          </w:p>
        </w:tc>
        <w:tc>
          <w:tcPr>
            <w:tcW w:type="dxa" w:w="1814"/>
          </w:tcPr>
          <w:p>
            <w:r>
              <w:rPr>
                <w:rFonts w:ascii="Times New Roman" w:hAnsi="Times New Roman"/>
                <w:sz w:val="20"/>
              </w:rPr>
              <w:t>96,85 %</w:t>
            </w:r>
          </w:p>
        </w:tc>
        <w:tc>
          <w:tcPr>
            <w:tcW w:type="dxa" w:w="1814"/>
          </w:tcPr>
          <w:p>
            <w:r>
              <w:rPr>
                <w:rFonts w:ascii="Times New Roman" w:hAnsi="Times New Roman"/>
                <w:sz w:val="20"/>
              </w:rPr>
              <w:t>290.550 EUR</w:t>
            </w:r>
          </w:p>
        </w:tc>
      </w:tr>
      <w:tr>
        <w:tc>
          <w:tcPr>
            <w:tcW w:type="dxa" w:w="1814"/>
          </w:tcPr>
          <w:p>
            <w:r>
              <w:rPr>
                <w:rFonts w:ascii="Times New Roman" w:hAnsi="Times New Roman"/>
                <w:sz w:val="20"/>
              </w:rPr>
              <w:t>XS2345611223</w:t>
            </w:r>
          </w:p>
        </w:tc>
        <w:tc>
          <w:tcPr>
            <w:tcW w:type="dxa" w:w="1814"/>
          </w:tcPr>
          <w:p>
            <w:r>
              <w:rPr>
                <w:rFonts w:ascii="Times New Roman" w:hAnsi="Times New Roman"/>
                <w:sz w:val="20"/>
              </w:rPr>
              <w:t>Pfandbriefbank 1,875 % 06/2028, Nominal 150.000 EUR</w:t>
            </w:r>
          </w:p>
        </w:tc>
        <w:tc>
          <w:tcPr>
            <w:tcW w:type="dxa" w:w="1814"/>
          </w:tcPr>
          <w:p>
            <w:r>
              <w:rPr>
                <w:rFonts w:ascii="Times New Roman" w:hAnsi="Times New Roman"/>
                <w:sz w:val="20"/>
              </w:rPr>
              <w:t>150.000</w:t>
            </w:r>
          </w:p>
        </w:tc>
        <w:tc>
          <w:tcPr>
            <w:tcW w:type="dxa" w:w="1814"/>
          </w:tcPr>
          <w:p>
            <w:r>
              <w:rPr>
                <w:rFonts w:ascii="Times New Roman" w:hAnsi="Times New Roman"/>
                <w:sz w:val="20"/>
              </w:rPr>
              <w:t>93,40 %</w:t>
            </w:r>
          </w:p>
        </w:tc>
        <w:tc>
          <w:tcPr>
            <w:tcW w:type="dxa" w:w="1814"/>
          </w:tcPr>
          <w:p>
            <w:r>
              <w:rPr>
                <w:rFonts w:ascii="Times New Roman" w:hAnsi="Times New Roman"/>
                <w:sz w:val="20"/>
              </w:rPr>
              <w:t>140.100 EUR</w:t>
            </w:r>
          </w:p>
        </w:tc>
      </w:tr>
      <w:tr>
        <w:tc>
          <w:tcPr>
            <w:tcW w:type="dxa" w:w="1814"/>
          </w:tcPr>
          <w:p>
            <w:r>
              <w:rPr>
                <w:rFonts w:ascii="Times New Roman" w:hAnsi="Times New Roman"/>
                <w:sz w:val="20"/>
              </w:rPr>
              <w:t>DE000HVB4YE5</w:t>
            </w:r>
          </w:p>
        </w:tc>
        <w:tc>
          <w:tcPr>
            <w:tcW w:type="dxa" w:w="1814"/>
          </w:tcPr>
          <w:p>
            <w:r>
              <w:rPr>
                <w:rFonts w:ascii="Times New Roman" w:hAnsi="Times New Roman"/>
                <w:sz w:val="20"/>
              </w:rPr>
              <w:t>UniCredit HVB Floater 2026, Nominal 100.000 EUR</w:t>
            </w:r>
          </w:p>
        </w:tc>
        <w:tc>
          <w:tcPr>
            <w:tcW w:type="dxa" w:w="1814"/>
          </w:tcPr>
          <w:p>
            <w:r>
              <w:rPr>
                <w:rFonts w:ascii="Times New Roman" w:hAnsi="Times New Roman"/>
                <w:sz w:val="20"/>
              </w:rPr>
              <w:t>100.000</w:t>
            </w:r>
          </w:p>
        </w:tc>
        <w:tc>
          <w:tcPr>
            <w:tcW w:type="dxa" w:w="1814"/>
          </w:tcPr>
          <w:p>
            <w:r>
              <w:rPr>
                <w:rFonts w:ascii="Times New Roman" w:hAnsi="Times New Roman"/>
                <w:sz w:val="20"/>
              </w:rPr>
              <w:t>99,10 %</w:t>
            </w:r>
          </w:p>
        </w:tc>
        <w:tc>
          <w:tcPr>
            <w:tcW w:type="dxa" w:w="1814"/>
          </w:tcPr>
          <w:p>
            <w:r>
              <w:rPr>
                <w:rFonts w:ascii="Times New Roman" w:hAnsi="Times New Roman"/>
                <w:sz w:val="20"/>
              </w:rPr>
              <w:t>99.100 EUR</w:t>
            </w:r>
          </w:p>
        </w:tc>
      </w:tr>
      <w:tr>
        <w:tc>
          <w:tcPr>
            <w:tcW w:type="dxa" w:w="1814"/>
          </w:tcPr>
          <w:p>
            <w:r>
              <w:rPr>
                <w:rFonts w:ascii="Times New Roman" w:hAnsi="Times New Roman"/>
                <w:sz w:val="20"/>
              </w:rPr>
              <w:t>DE000A2BPCK4</w:t>
            </w:r>
          </w:p>
        </w:tc>
        <w:tc>
          <w:tcPr>
            <w:tcW w:type="dxa" w:w="1814"/>
          </w:tcPr>
          <w:p>
            <w:r>
              <w:rPr>
                <w:rFonts w:ascii="Times New Roman" w:hAnsi="Times New Roman"/>
                <w:sz w:val="20"/>
              </w:rPr>
              <w:t>Siemens Energy AG, Inhaber-Aktien</w:t>
            </w:r>
          </w:p>
        </w:tc>
        <w:tc>
          <w:tcPr>
            <w:tcW w:type="dxa" w:w="1814"/>
          </w:tcPr>
          <w:p>
            <w:r>
              <w:rPr>
                <w:rFonts w:ascii="Times New Roman" w:hAnsi="Times New Roman"/>
                <w:sz w:val="20"/>
              </w:rPr>
              <w:t>400</w:t>
            </w:r>
          </w:p>
        </w:tc>
        <w:tc>
          <w:tcPr>
            <w:tcW w:type="dxa" w:w="1814"/>
          </w:tcPr>
          <w:p>
            <w:r>
              <w:rPr>
                <w:rFonts w:ascii="Times New Roman" w:hAnsi="Times New Roman"/>
                <w:sz w:val="20"/>
              </w:rPr>
              <w:t>31,60 EUR</w:t>
            </w:r>
          </w:p>
        </w:tc>
        <w:tc>
          <w:tcPr>
            <w:tcW w:type="dxa" w:w="1814"/>
          </w:tcPr>
          <w:p>
            <w:r>
              <w:rPr>
                <w:rFonts w:ascii="Times New Roman" w:hAnsi="Times New Roman"/>
                <w:sz w:val="20"/>
              </w:rPr>
              <w:t>12.640 EUR</w:t>
            </w:r>
          </w:p>
        </w:tc>
      </w:tr>
      <w:tr>
        <w:tc>
          <w:tcPr>
            <w:tcW w:type="dxa" w:w="1814"/>
          </w:tcPr>
          <w:p>
            <w:r>
              <w:rPr>
                <w:rFonts w:ascii="Times New Roman" w:hAnsi="Times New Roman"/>
                <w:sz w:val="20"/>
              </w:rPr>
              <w:t>IE00B4L5Y983</w:t>
            </w:r>
          </w:p>
        </w:tc>
        <w:tc>
          <w:tcPr>
            <w:tcW w:type="dxa" w:w="1814"/>
          </w:tcPr>
          <w:p>
            <w:r>
              <w:rPr>
                <w:rFonts w:ascii="Times New Roman" w:hAnsi="Times New Roman"/>
                <w:sz w:val="20"/>
              </w:rPr>
              <w:t>iShares Core MSCI World UCITS ETF</w:t>
            </w:r>
          </w:p>
        </w:tc>
        <w:tc>
          <w:tcPr>
            <w:tcW w:type="dxa" w:w="1814"/>
          </w:tcPr>
          <w:p>
            <w:r>
              <w:rPr>
                <w:rFonts w:ascii="Times New Roman" w:hAnsi="Times New Roman"/>
                <w:sz w:val="20"/>
              </w:rPr>
              <w:t>500 Ant.</w:t>
            </w:r>
          </w:p>
        </w:tc>
        <w:tc>
          <w:tcPr>
            <w:tcW w:type="dxa" w:w="1814"/>
          </w:tcPr>
          <w:p>
            <w:r>
              <w:rPr>
                <w:rFonts w:ascii="Times New Roman" w:hAnsi="Times New Roman"/>
                <w:sz w:val="20"/>
              </w:rPr>
              <w:t>95,66 EUR</w:t>
            </w:r>
          </w:p>
        </w:tc>
        <w:tc>
          <w:tcPr>
            <w:tcW w:type="dxa" w:w="1814"/>
          </w:tcPr>
          <w:p>
            <w:r>
              <w:rPr>
                <w:rFonts w:ascii="Times New Roman" w:hAnsi="Times New Roman"/>
                <w:sz w:val="20"/>
              </w:rPr>
              <w:t>47.830 EUR</w:t>
            </w:r>
          </w:p>
        </w:tc>
      </w:tr>
      <w:tr>
        <w:tc>
          <w:tcPr>
            <w:tcW w:type="dxa" w:w="1814"/>
          </w:tcPr>
          <w:p>
            <w:r>
              <w:rPr>
                <w:rFonts w:ascii="Times New Roman" w:hAnsi="Times New Roman"/>
                <w:sz w:val="20"/>
              </w:rPr>
              <w:t>Cash (EUR-Konto)</w:t>
            </w:r>
          </w:p>
        </w:tc>
        <w:tc>
          <w:tcPr>
            <w:tcW w:type="dxa" w:w="1814"/>
          </w:tcPr>
          <w:p>
            <w:r>
              <w:rPr>
                <w:rFonts w:ascii="Times New Roman" w:hAnsi="Times New Roman"/>
                <w:sz w:val="20"/>
              </w:rPr>
              <w:t>EUR-Verrechnungskonto</w:t>
            </w:r>
          </w:p>
        </w:tc>
        <w:tc>
          <w:tcPr>
            <w:tcW w:type="dxa" w:w="1814"/>
          </w:tcPr>
          <w:p>
            <w:r>
              <w:rPr>
                <w:rFonts w:ascii="Times New Roman" w:hAnsi="Times New Roman"/>
                <w:sz w:val="20"/>
              </w:rPr>
              <w:t>—</w:t>
            </w:r>
          </w:p>
        </w:tc>
        <w:tc>
          <w:tcPr>
            <w:tcW w:type="dxa" w:w="1814"/>
          </w:tcPr>
          <w:p>
            <w:r>
              <w:rPr>
                <w:rFonts w:ascii="Times New Roman" w:hAnsi="Times New Roman"/>
                <w:sz w:val="20"/>
              </w:rPr>
              <w:t>—</w:t>
            </w:r>
          </w:p>
        </w:tc>
        <w:tc>
          <w:tcPr>
            <w:tcW w:type="dxa" w:w="1814"/>
          </w:tcPr>
          <w:p>
            <w:r>
              <w:rPr>
                <w:rFonts w:ascii="Times New Roman" w:hAnsi="Times New Roman"/>
                <w:sz w:val="20"/>
              </w:rPr>
              <w:t>103.942 EUR</w:t>
            </w:r>
          </w:p>
        </w:tc>
      </w:tr>
      <w:tr>
        <w:tc>
          <w:tcPr>
            <w:tcW w:type="dxa" w:w="1814"/>
          </w:tcPr>
          <w:p>
            <w:r>
              <w:rPr>
                <w:rFonts w:ascii="Times New Roman" w:hAnsi="Times New Roman"/>
                <w:b/>
                <w:sz w:val="20"/>
              </w:rPr>
              <w:t>Gesamt</w:t>
            </w:r>
          </w:p>
        </w:tc>
        <w:tc>
          <w:tcPr>
            <w:tcW w:type="dxa" w:w="1814"/>
          </w:tcPr>
          <w:p/>
        </w:tc>
        <w:tc>
          <w:tcPr>
            <w:tcW w:type="dxa" w:w="1814"/>
          </w:tcPr>
          <w:p/>
        </w:tc>
        <w:tc>
          <w:tcPr>
            <w:tcW w:type="dxa" w:w="1814"/>
          </w:tcPr>
          <w:p/>
        </w:tc>
        <w:tc>
          <w:tcPr>
            <w:tcW w:type="dxa" w:w="1814"/>
          </w:tcPr>
          <w:p>
            <w:r>
              <w:rPr>
                <w:rFonts w:ascii="Times New Roman" w:hAnsi="Times New Roman"/>
                <w:b/>
                <w:sz w:val="20"/>
              </w:rPr>
              <w:t>1.124.382 EUR</w:t>
            </w:r>
          </w:p>
        </w:tc>
      </w:tr>
    </w:tbl>
    <w:p/>
    <w:p>
      <w:pPr>
        <w:pStyle w:val="Heading2"/>
      </w:pPr>
      <w:r>
        <w:rPr>
          <w:rFonts w:ascii="Times New Roman" w:hAnsi="Times New Roman"/>
        </w:rPr>
        <w:t>2. Bewertungsfragen</w:t>
      </w:r>
    </w:p>
    <w:p>
      <w:pPr>
        <w:pStyle w:val="Heading3"/>
      </w:pPr>
      <w:r>
        <w:rPr>
          <w:rFonts w:ascii="Times New Roman" w:hAnsi="Times New Roman"/>
        </w:rPr>
        <w:t>2.1 Stichtagswert Todestag</w:t>
      </w:r>
    </w:p>
    <w:p>
      <w:pPr>
        <w:jc w:val="left"/>
      </w:pPr>
      <w:r>
        <w:t>Für die Erbschaftsteuer und die Pflichtteilsberechnung ist der Wert am Todestag (12.03.2025) maßgeblich (Paragraf 11 ErbStG: gemeiner Wert, bei börsennotierten Wertpapieren Kurs am Bewertungsstichtag). Die Bank wurde zur Stichtagsaufstellung aufgefordert; Vollmacht Henrike liegt vor, Bank besteht auf Erbschein für förmliche Depotauskunft.</w:t>
      </w:r>
    </w:p>
    <w:p>
      <w:pPr>
        <w:jc w:val="left"/>
      </w:pPr>
      <w:r>
        <w:t>Provisorische Schätzung der Kanzlei auf Basis Kursentwicklung Jan.–Mär. 2025:</w:t>
      </w:r>
    </w:p>
    <w:p>
      <w:pPr>
        <w:pStyle w:val="ListBullet"/>
      </w:pPr>
      <w:r>
        <w:t>Aktien: leichter Rückgang (−2–4 % je nach Titel)</w:t>
      </w:r>
    </w:p>
    <w:p>
      <w:pPr>
        <w:pStyle w:val="ListBullet"/>
      </w:pPr>
      <w:r>
        <w:t>Anleihen: Renditeanstieg → Kursverlust ca. −1,5–2 %</w:t>
      </w:r>
    </w:p>
    <w:p>
      <w:pPr>
        <w:pStyle w:val="ListBullet"/>
      </w:pPr>
      <w:r>
        <w:t>Fonds: unverändert bis +1 %</w:t>
      </w:r>
    </w:p>
    <w:p>
      <w:pPr>
        <w:pStyle w:val="ListBullet"/>
      </w:pPr>
      <w:r>
        <w:t>ETF: +3 %</w:t>
      </w:r>
    </w:p>
    <w:p>
      <w:pPr>
        <w:jc w:val="left"/>
      </w:pPr>
      <w:r>
        <w:rPr>
          <w:b/>
        </w:rPr>
        <w:t>Schätzwert 12.03.2025: ca. 1.095.000–1.105.000 EUR.</w:t>
      </w:r>
      <w:r>
        <w:t xml:space="preserve"> Ansatz für Nachlassverzeichnis: </w:t>
      </w:r>
      <w:r>
        <w:rPr>
          <w:b/>
        </w:rPr>
        <w:t>1.100.000 EUR</w:t>
      </w:r>
      <w:r>
        <w:t xml:space="preserve"> (gerundet, vorbehaltlich Bankbestätigung).</w:t>
      </w:r>
    </w:p>
    <w:p>
      <w:pPr>
        <w:pStyle w:val="Heading3"/>
      </w:pPr>
      <w:r>
        <w:rPr>
          <w:rFonts w:ascii="Times New Roman" w:hAnsi="Times New Roman"/>
        </w:rPr>
        <w:t>2.2 Maßgeblicher Zeitpunkt für Pflichtteilsergänzung</w:t>
      </w:r>
    </w:p>
    <w:p>
      <w:pPr>
        <w:jc w:val="left"/>
      </w:pPr>
      <w:r>
        <w:t>Die Schenkungen an Constantin erfolgten in Geld (Tranchen 2020–2023), nicht aus dem Depot. Das Depot ist daher nicht direkt pflichtteilsergänzungsrelevant, aber Bestandteil des Reinnachlasses für die Pflichtteilsberechnung nach Paragraf 2311 BGB.</w:t>
      </w:r>
    </w:p>
    <w:p>
      <w:pPr>
        <w:pStyle w:val="Heading3"/>
      </w:pPr>
      <w:r>
        <w:rPr>
          <w:rFonts w:ascii="Times New Roman" w:hAnsi="Times New Roman"/>
        </w:rPr>
        <w:t>2.3 Einlagensicherung und Haftung</w:t>
      </w:r>
    </w:p>
    <w:p>
      <w:pPr>
        <w:jc w:val="left"/>
      </w:pPr>
      <w:r>
        <w:t>Das Depot ist bei einem privaten Bankhaus geführt. Die Einlagensicherung nach EinSiG (100.000 EUR Bareinlagen) schützt den Cash-Anteil in voller Höhe; Wertpapiere sind Sondervermögen und von einer Insolvenz der Bank nicht betroffen. Kein Risiko.</w:t>
      </w:r>
    </w:p>
    <w:p/>
    <w:p>
      <w:pPr>
        <w:pStyle w:val="Heading2"/>
      </w:pPr>
      <w:r>
        <w:rPr>
          <w:rFonts w:ascii="Times New Roman" w:hAnsi="Times New Roman"/>
        </w:rPr>
        <w:t>3. Zugangsproblem</w:t>
      </w:r>
    </w:p>
    <w:p>
      <w:pPr>
        <w:jc w:val="left"/>
      </w:pPr>
      <w:r>
        <w:t xml:space="preserve">Die Bank hat der Kanzlei am 05.05.2025 schriftlich mitgeteilt, dass sie für alle depotbezogenen Verfügungen (Sperrung, Umbuchung, Informationserteilung über Stichtag) einen </w:t>
      </w:r>
      <w:r>
        <w:rPr>
          <w:b/>
        </w:rPr>
        <w:t>Erbschein</w:t>
      </w:r>
      <w:r>
        <w:t xml:space="preserve"> verlange. Eine Vollmacht reiche nicht aus, da mit dem Tod des Erblassers die Kontovollmacht erloschen sei und im Übrigen das Depot nur von allen Erben gemeinsam oder durch einen bestellten Testamentsvollstrecker verwaltet werden dürfe.</w:t>
      </w:r>
    </w:p>
    <w:p>
      <w:pPr>
        <w:jc w:val="left"/>
      </w:pPr>
      <w:r>
        <w:rPr>
          <w:b/>
        </w:rPr>
        <w:t>Rechtliche Einordnung:</w:t>
      </w:r>
      <w:r>
        <w:t xml:space="preserve"> Die Forderung nach einem Erbschein ist für die inhaltliche Auskunft über Bestand und Wert nicht zwingend rechtlich geboten — das Kreditinstitut handelt praktisch und zur eigenen Sicherung so. Für die Einholung des Erbscheins → Aktenstück 14. Bis dahin kann die Kanzlei keine formale Depotsperre oder Auskunft über den Stichtagswert verlangen.</w:t>
      </w:r>
    </w:p>
    <w:p>
      <w:pPr>
        <w:jc w:val="left"/>
      </w:pPr>
      <w:r>
        <w:rPr>
          <w:b/>
        </w:rPr>
        <w:t>Risiko:</w:t>
      </w:r>
      <w:r>
        <w:t xml:space="preserve"> Constantin könnte als potenzieller Erbe (bzw. auch nach Ausschlagung, sofern er sich darauf beruft) versuchen, bei der Bank eigene Rechte geltend zu machen. Dies ist nach Ausschlagung nicht möglich (Paragraf 1953 BGB); die Bank ist zu informieren, sobald die Ausschlagung rechtskräftig registriert ist.</w:t>
      </w:r>
    </w:p>
    <w:p/>
    <w:p>
      <w:pPr>
        <w:pStyle w:val="Heading2"/>
      </w:pPr>
      <w:r>
        <w:rPr>
          <w:rFonts w:ascii="Times New Roman" w:hAnsi="Times New Roman"/>
        </w:rPr>
        <w:t>4. Depotübersicht (Grafik)</w:t>
      </w:r>
    </w:p>
    <w:p>
      <w:pPr>
        <w:jc w:val="left"/>
      </w:pPr>
      <w:r>
        <w:t>Zur Visualisierung der Vermögensallokation des Depots:</w:t>
      </w:r>
    </w:p>
    <w:p>
      <w:pPr>
        <w:pStyle w:val="ListBullet"/>
      </w:pPr>
      <w:r>
        <w:t xml:space="preserve">Anleihen/Festzins: ca. </w:t>
      </w:r>
      <w:r>
        <w:rPr>
          <w:b/>
        </w:rPr>
        <w:t>530.000 EUR</w:t>
      </w:r>
      <w:r>
        <w:t xml:space="preserve"> (47 %)</w:t>
      </w:r>
    </w:p>
    <w:p>
      <w:pPr>
        <w:pStyle w:val="ListBullet"/>
      </w:pPr>
      <w:r>
        <w:t xml:space="preserve">Aktienfonds/ETF: ca. </w:t>
      </w:r>
      <w:r>
        <w:rPr>
          <w:b/>
        </w:rPr>
        <w:t>376.000 EUR</w:t>
      </w:r>
      <w:r>
        <w:t xml:space="preserve"> (33 %)</w:t>
      </w:r>
    </w:p>
    <w:p>
      <w:pPr>
        <w:pStyle w:val="ListBullet"/>
      </w:pPr>
      <w:r>
        <w:t xml:space="preserve">Direktaktien: ca. </w:t>
      </w:r>
      <w:r>
        <w:rPr>
          <w:b/>
        </w:rPr>
        <w:t>80.000 EUR</w:t>
      </w:r>
      <w:r>
        <w:t xml:space="preserve"> (7 %)</w:t>
      </w:r>
    </w:p>
    <w:p>
      <w:pPr>
        <w:pStyle w:val="ListBullet"/>
      </w:pPr>
      <w:r>
        <w:t xml:space="preserve">Cash: ca. </w:t>
      </w:r>
      <w:r>
        <w:rPr>
          <w:b/>
        </w:rPr>
        <w:t>104.000 EUR</w:t>
      </w:r>
      <w:r>
        <w:t xml:space="preserve"> (9 %)</w:t>
      </w:r>
    </w:p>
    <w:p>
      <w:pPr>
        <w:pStyle w:val="ListBullet"/>
      </w:pPr>
      <w:r>
        <w:t xml:space="preserve">Sonstiges: ca. </w:t>
      </w:r>
      <w:r>
        <w:rPr>
          <w:b/>
        </w:rPr>
        <w:t>34.000 EUR</w:t>
      </w:r>
      <w:r>
        <w:t xml:space="preserve"> (3 %)</w:t>
      </w:r>
    </w:p>
    <w:p>
      <w:pPr>
        <w:jc w:val="left"/>
      </w:pPr>
      <w:r>
        <w:t>Das Depot ist stark anleihegewichtet und entspricht einem konservativen Risikoprofil.</w:t>
      </w:r>
    </w:p>
    <w:p/>
    <w:p>
      <w:pPr>
        <w:pStyle w:val="Heading2"/>
      </w:pPr>
      <w:r>
        <w:rPr>
          <w:rFonts w:ascii="Times New Roman" w:hAnsi="Times New Roman"/>
        </w:rPr>
        <w:t>5. Nächste Schritte</w:t>
      </w:r>
    </w:p>
    <w:p>
      <w:pPr>
        <w:pStyle w:val="ListBullet"/>
      </w:pPr>
      <w:r>
        <w:t>Erbschein einreichen sobald erteilt → Depotauskunft und Sperrung bis zur Auseinandersetzung.</w:t>
      </w:r>
    </w:p>
    <w:p>
      <w:pPr>
        <w:pStyle w:val="ListBullet"/>
      </w:pPr>
      <w:r>
        <w:t>Kanzlei prüft einstweilige Sicherungsanordnung nach Paragraf 1960 BGB, um Depotveräußerungen bis zur Auseinandersetzung zu verhindern.</w:t>
      </w:r>
    </w:p>
    <w:p>
      <w:pPr>
        <w:pStyle w:val="ListBullet"/>
      </w:pPr>
      <w:r>
        <w:t>Bankhaus Lampe-Hauck ist Privatinstitut; kein öffentlicher Jahresbericht; Bonitätsprüfung nicht erforderlich.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