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Krypto-Zugriffsstreit: Constantin ./. Erbengemeinschaft</w:t>
      </w:r>
    </w:p>
    <w:p>
      <w:pPr>
        <w:jc w:val="left"/>
      </w:pPr>
      <w:r>
        <w:rPr>
          <w:b/>
        </w:rPr>
        <w:t>Az.:</w:t>
      </w:r>
      <w:r>
        <w:t xml:space="preserve"> KlKette 025/0422-ERB-EDE</w:t>
      </w:r>
    </w:p>
    <w:p>
      <w:pPr>
        <w:jc w:val="left"/>
      </w:pPr>
      <w:r>
        <w:rPr>
          <w:b/>
        </w:rPr>
        <w:t>Stand:</w:t>
      </w:r>
      <w:r>
        <w:t xml:space="preserve"> 12.05.2025</w:t>
      </w:r>
    </w:p>
    <w:p>
      <w:pPr>
        <w:jc w:val="left"/>
      </w:pPr>
      <w:r>
        <w:rPr>
          <w:b/>
        </w:rPr>
        <w:t>Bearbeitung:</w:t>
      </w:r>
      <w:r>
        <w:t xml:space="preserve"> RAin Steinkamp</w:t>
      </w:r>
    </w:p>
    <w:p/>
    <w:p>
      <w:pPr>
        <w:pStyle w:val="Heading2"/>
      </w:pPr>
      <w:r>
        <w:rPr>
          <w:rFonts w:ascii="Times New Roman" w:hAnsi="Times New Roman"/>
        </w:rPr>
        <w:t>1. Ausgangslage</w:t>
      </w:r>
    </w:p>
    <w:p>
      <w:pPr>
        <w:jc w:val="left"/>
      </w:pPr>
      <w:r>
        <w:t xml:space="preserve">Am 02.04.2025 hat Constantin Edelmann gegenüber Henrike telefonisch erklärt, er werde „meinen Anteil an der Wallet sichern, bevor Marlies oder andere Erben sich Zugriff verschaffen". Am 05.05.2025 hat er der Kanzlei das provokative Schreiben (→ </w:t>
      </w:r>
      <w:r>
        <w:t>emails/2025-05-04_constantin_an_kanzlei_provokation.eml</w:t>
      </w:r>
      <w:r>
        <w:t>) übermittelt, in dem er ausführt:</w:t>
      </w:r>
    </w:p>
    <w:p>
      <w:pPr>
        <w:ind w:left="567"/>
      </w:pPr>
      <w:r>
        <w:rPr>
          <w:i/>
        </w:rPr>
        <w:t>„Die Kryptowährungen hat mein Vater mir über die Jahre schrittweise übergeben. Er hat mir die Schlüssel anvertraut und mich in die Verwaltung eingeweiht. Das ist keine Nachlassmasse, das ist mein Vermögen. Ich habe zwei Schlüssel und kann, sobald ein dritter Schlüssel zugänglich ist, handeln. Das ist technisch mein Recht."</w:t>
      </w:r>
    </w:p>
    <w:p>
      <w:pPr>
        <w:jc w:val="left"/>
      </w:pPr>
      <w:r>
        <w:t>Das Sicherungsschreiben der Kanzlei vom 23.04.2025 (→ intern, Entwurf liegt vor) hat Constantin nicht zur Antwort bewogen, sondern zu dieser provokativen Reaktion veranlasst.</w:t>
      </w:r>
    </w:p>
    <w:p>
      <w:pPr>
        <w:jc w:val="left"/>
      </w:pPr>
      <w:r>
        <w:t>Seit der Ausschlagung am 29.04.2025 ist Constantin rechtlich kein Erbe mehr. Er hat aber de facto zwei Schlüssel und wartet entweder auf Öffnung des Schließfachs Volksbank Esslingen (Schlüssel #5) oder auf Kooperation durch Marlies (Schlüssel #3, wenn Marlies einen hat). Seine technische Drohung ist also real, auch wenn sie rechtlich illegitim ist.</w:t>
      </w:r>
    </w:p>
    <w:p/>
    <w:p>
      <w:pPr>
        <w:pStyle w:val="Heading2"/>
      </w:pPr>
      <w:r>
        <w:rPr>
          <w:rFonts w:ascii="Times New Roman" w:hAnsi="Times New Roman"/>
        </w:rPr>
        <w:t>2. Constantins rechtliche Argumentation (zusammengefasst aus Schreiben und Telefonat)</w:t>
      </w:r>
    </w:p>
    <w:p>
      <w:pPr>
        <w:jc w:val="left"/>
      </w:pPr>
      <w:r>
        <w:t>Constantin bringt vor:</w:t>
      </w:r>
    </w:p>
    <w:p>
      <w:pPr>
        <w:pStyle w:val="ListNumber"/>
      </w:pPr>
      <w:r>
        <w:rPr>
          <w:b/>
        </w:rPr>
        <w:t>Schenkungsargument:</w:t>
      </w:r>
      <w:r>
        <w:t xml:space="preserve"> Er behauptet, sein Vater habe ihm die Krypto-Assets schenkungsweise übertragen, indem er ihn als Mitverwalter eingesetzt und ihm faktische Kontrolle gegeben habe. Der Stichtag für diese Schenkung sei 2019/2021.</w:t>
      </w:r>
    </w:p>
    <w:p>
      <w:pPr>
        <w:pStyle w:val="ListNumber"/>
      </w:pPr>
      <w:r>
        <w:rPr>
          <w:b/>
        </w:rPr>
        <w:t>Besitzargument:</w:t>
      </w:r>
      <w:r>
        <w:t xml:space="preserve"> Er habe Schlüssel #2 und hält ihn dauerhaft in eigenem Gewahrsam; das sei ein Zeichen der Eigentumsübertragung.</w:t>
      </w:r>
    </w:p>
    <w:p>
      <w:pPr>
        <w:pStyle w:val="ListNumber"/>
      </w:pPr>
      <w:r>
        <w:rPr>
          <w:b/>
        </w:rPr>
        <w:t>Testamentsargument:</w:t>
      </w:r>
      <w:r>
        <w:t xml:space="preserve"> Der Notarvermerk (2023) belege, dass sein Vater gewollt habe, dass er mehr bekommt; die Krypto-Assets seien der „stille Ausgleich" dafür.</w:t>
      </w:r>
    </w:p>
    <w:p>
      <w:pPr>
        <w:pStyle w:val="ListNumber"/>
      </w:pPr>
      <w:r>
        <w:rPr>
          <w:b/>
        </w:rPr>
        <w:t>Technisch-faktisches Argument:</w:t>
      </w:r>
      <w:r>
        <w:t xml:space="preserve"> Er sei de facto der einzige, der die nötigen Kenntnisse habe, die Wallet zu verwalten; ohne seine Kooperation sei das Geld für alle verloren.</w:t>
      </w:r>
    </w:p>
    <w:p/>
    <w:p>
      <w:pPr>
        <w:pStyle w:val="Heading2"/>
      </w:pPr>
      <w:r>
        <w:rPr>
          <w:rFonts w:ascii="Times New Roman" w:hAnsi="Times New Roman"/>
        </w:rPr>
        <w:t>3. Rechtliche Gegenpositionen</w:t>
      </w:r>
    </w:p>
    <w:p>
      <w:pPr>
        <w:pStyle w:val="Heading3"/>
      </w:pPr>
      <w:r>
        <w:rPr>
          <w:rFonts w:ascii="Times New Roman" w:hAnsi="Times New Roman"/>
        </w:rPr>
        <w:t>3.1 Schenkungsargument — keine vollzogene Schenkung</w:t>
      </w:r>
    </w:p>
    <w:p>
      <w:pPr>
        <w:jc w:val="left"/>
      </w:pPr>
      <w:r>
        <w:t>Eine Schenkung von Kryptowährungen setzt, wie jede Eigentumsübertragung, die vollständige Übertragung der Verfügungsgewalt voraus. Bei Kryptowährungen ist das die vollständige Übertragung der privaten Schlüssel — nicht die Einräumung von Mitbesitz oder Mitunterzeichnungsrechten. Constantin hat nie die alleinige Kontrolle über die Wallet erhalten; das Wallet war auf Quorum-Basis konzipiert. Sein Vater hat bis zum Tod Schlüssel #1 behalten. Keine Schenkung im Rechtssinne ist vollzogen.</w:t>
      </w:r>
    </w:p>
    <w:p>
      <w:pPr>
        <w:jc w:val="left"/>
      </w:pPr>
      <w:r>
        <w:t>Hinzu kommt: Die On-Chain-Transaktionen (−0,80 BTC, −1,20 BTC, −8 ETH, −2 ETH) könnten als Schenkungen i.S.d. Paragraf 2325 BGB qualifiziert werden — aber nur die an Constantin weiterfließenden Beträge, nicht das gesamte Wallet. Und für Paragraf 2325 BGB hat das ohnehin den Effekt, Henrikes Ergänzungsanspruch zu stärken (→ Aktenstück 11).</w:t>
      </w:r>
    </w:p>
    <w:p>
      <w:pPr>
        <w:pStyle w:val="Heading3"/>
      </w:pPr>
      <w:r>
        <w:rPr>
          <w:rFonts w:ascii="Times New Roman" w:hAnsi="Times New Roman"/>
        </w:rPr>
        <w:t>3.2 Besitzargument — kein ausreichender Übertragungsakt</w:t>
      </w:r>
    </w:p>
    <w:p>
      <w:pPr>
        <w:jc w:val="left"/>
      </w:pPr>
      <w:r>
        <w:t>Das bloße Innehaben eines Schlüssels zu einem Gemeinschaftsvermögen begründet kein Eigentumsrecht. Vergleich: Die Mitinhaberschaft an einem Bankkonto gibt keinem Mitinhaber das alleinige Eigentumsrecht am Guthaben.</w:t>
      </w:r>
    </w:p>
    <w:p>
      <w:pPr>
        <w:pStyle w:val="Heading3"/>
      </w:pPr>
      <w:r>
        <w:rPr>
          <w:rFonts w:ascii="Times New Roman" w:hAnsi="Times New Roman"/>
        </w:rPr>
        <w:t>3.3 Testamentswortlaut</w:t>
      </w:r>
    </w:p>
    <w:p>
      <w:pPr>
        <w:jc w:val="left"/>
      </w:pPr>
      <w:r>
        <w:t>Das Testament sagt ausdrücklich: Kryptos sind Nachlass. Der Notarvermerk ist keine Verfügung. Schluss.</w:t>
      </w:r>
    </w:p>
    <w:p>
      <w:pPr>
        <w:pStyle w:val="Heading3"/>
      </w:pPr>
      <w:r>
        <w:rPr>
          <w:rFonts w:ascii="Times New Roman" w:hAnsi="Times New Roman"/>
        </w:rPr>
        <w:t>3.4 Ausschlagung und Konsequenzen</w:t>
      </w:r>
    </w:p>
    <w:p>
      <w:pPr>
        <w:jc w:val="left"/>
      </w:pPr>
      <w:r>
        <w:t>Da Constantin ausgeschlagen hat (Paragraf 1953 BGB), gilt er als von Anfang an nicht Erbe. Er hat keine Rechte als Mitglied der Erbengemeinschaft. Insbesondere hat er keine Verwaltungsbefugnis nach Paragraf 2038 BGB.</w:t>
      </w:r>
    </w:p>
    <w:p/>
    <w:p>
      <w:pPr>
        <w:pStyle w:val="Heading2"/>
      </w:pPr>
      <w:r>
        <w:rPr>
          <w:rFonts w:ascii="Times New Roman" w:hAnsi="Times New Roman"/>
        </w:rPr>
        <w:t>4. Sicherungsmaßnahmen — Prüfung</w:t>
      </w:r>
    </w:p>
    <w:p>
      <w:pPr>
        <w:pStyle w:val="Heading3"/>
      </w:pPr>
      <w:r>
        <w:rPr>
          <w:rFonts w:ascii="Times New Roman" w:hAnsi="Times New Roman"/>
        </w:rPr>
        <w:t>4.1 Einstweilige Verfügung auf Unterlassung</w:t>
      </w:r>
    </w:p>
    <w:p>
      <w:pPr>
        <w:jc w:val="left"/>
      </w:pPr>
      <w:r>
        <w:t>Die Erbengemeinschaft kann beim LG Stuttgart (zuständig nach Paragraf 32 ZPO für Deliktshandlungen am Wallet-Ort, hilfsweise Paragraf 12 ZPO allg. Gerichtsstand Berlin Constantin) eine einstweilige Verfügung beantragen, die Constantin bei Meidung von Ordnungsgeld untersagt, auf die Wallet zuzugreifen oder Schlüssel zu nutzen, ohne Zustimmung der Erbengemeinschaft.</w:t>
      </w:r>
    </w:p>
    <w:p>
      <w:pPr>
        <w:jc w:val="left"/>
      </w:pPr>
      <w:r>
        <w:rPr>
          <w:b/>
        </w:rPr>
        <w:t>Voraussetzungen:</w:t>
      </w:r>
    </w:p>
    <w:p>
      <w:pPr>
        <w:pStyle w:val="ListBullet"/>
      </w:pPr>
      <w:r>
        <w:t>Verfügungsanspruch: Paragraf 1004 BGB analog (Eigentumsbeeinträchtigung durch drohenden Eingriff), Paragraf 2039 BGB (Nachlassansprüche durch einzelne Erben geltend machbar).</w:t>
      </w:r>
    </w:p>
    <w:p>
      <w:pPr>
        <w:pStyle w:val="ListBullet"/>
      </w:pPr>
      <w:r>
        <w:t>Verfügungsgrund: Dringlichkeit; Constantin hat konkrete Drohungen geäußert; jede vollzogene Transaktion ist auf der Blockchain irreversibel.</w:t>
      </w:r>
    </w:p>
    <w:p>
      <w:pPr>
        <w:jc w:val="left"/>
      </w:pPr>
      <w:r>
        <w:rPr>
          <w:b/>
        </w:rPr>
        <w:t>Erfolgsaussichten: gut</w:t>
      </w:r>
      <w:r>
        <w:t xml:space="preserve"> — das Gericht dürfte die irreversible Natur von Blockchain-Transaktionen als besondere Dringlichkeit würdigen.</w:t>
      </w:r>
    </w:p>
    <w:p>
      <w:pPr>
        <w:pStyle w:val="Heading3"/>
      </w:pPr>
      <w:r>
        <w:rPr>
          <w:rFonts w:ascii="Times New Roman" w:hAnsi="Times New Roman"/>
        </w:rPr>
        <w:t>4.2 Anordnung der Nachlassverwaltung (Paragraf 1975 ff. BGB)</w:t>
      </w:r>
    </w:p>
    <w:p>
      <w:pPr>
        <w:jc w:val="left"/>
      </w:pPr>
      <w:r>
        <w:t>Henrike kann beim Nachlassgericht Stuttgart die Nachlassverwaltung beantragen. Der Nachlassverwalter hätte dann die alleinige Verwaltungsbefugnis und könnte den Erblasser-Stick von Marlies herausverlangen. Nachteil: Kosten und Zeitaufwand; außerdem müsste ein geeigneter Verwalter gefunden werden, der mit Kryptowährungs-Verwahrung umgehen kann — das ist keine Standardkompetenz.</w:t>
      </w:r>
    </w:p>
    <w:p>
      <w:pPr>
        <w:pStyle w:val="Heading3"/>
      </w:pPr>
      <w:r>
        <w:rPr>
          <w:rFonts w:ascii="Times New Roman" w:hAnsi="Times New Roman"/>
        </w:rPr>
        <w:t>4.3 Antrag auf Sicherungsanordnung nach Paragraf 1960 BGB</w:t>
      </w:r>
    </w:p>
    <w:p>
      <w:pPr>
        <w:jc w:val="left"/>
      </w:pPr>
      <w:r>
        <w:t>Das Nachlassgericht kann auf Antrag einer beteiligten Person Sicherungsmaßnahmen anordnen, etwa die Hinterlegung des Erblasser-Sticks beim Gericht. Henrike kann dies sofort beantragen; der Antrag ist kostengünstig und niedrigschwellig.</w:t>
      </w:r>
    </w:p>
    <w:p>
      <w:pPr>
        <w:jc w:val="left"/>
      </w:pPr>
      <w:r>
        <w:rPr>
          <w:b/>
        </w:rPr>
        <w:t>Empfehlung:</w:t>
      </w:r>
      <w:r>
        <w:t xml:space="preserve"> Kombination aus einstweiliger Verfügung (gegen Constantin) und Sicherungsantrag beim Nachlassgericht (für den Stick bei Marlies).</w:t>
      </w:r>
    </w:p>
    <w:p>
      <w:pPr>
        <w:pStyle w:val="Heading3"/>
      </w:pPr>
      <w:r>
        <w:rPr>
          <w:rFonts w:ascii="Times New Roman" w:hAnsi="Times New Roman"/>
        </w:rPr>
        <w:t>4.4 Strafanzeige</w:t>
      </w:r>
    </w:p>
    <w:p>
      <w:pPr>
        <w:jc w:val="left"/>
      </w:pPr>
      <w:r>
        <w:t>Eine Strafanzeige wegen Paragraf 263a StGB (Computerbetrug) oder Paragraf 246 StGB (Unterschlagung) käme in Betracht, wenn Constantin faktisch unbefugt auf die Wallet zugreift. Derzeit hat er noch nicht zugegriffen; die Drohung allein reicht strafrechtlich nicht aus. Die Strafanzeige ist für den Moment, in dem ein unberechtigter Transfer stattfindet, vorzubereiten.</w:t>
      </w:r>
    </w:p>
    <w:p/>
    <w:p>
      <w:pPr>
        <w:pStyle w:val="Heading2"/>
      </w:pPr>
      <w:r>
        <w:rPr>
          <w:rFonts w:ascii="Times New Roman" w:hAnsi="Times New Roman"/>
        </w:rPr>
        <w:t>5. Schließfach-Problem: Volksbank Esslingen</w:t>
      </w:r>
    </w:p>
    <w:p>
      <w:pPr>
        <w:jc w:val="left"/>
      </w:pPr>
      <w:r>
        <w:t>Das Bankschließfach Nr. 441 enthält Schlüssel #5 (Backup-Schlüssel). Die Volksbank Esslingen hat auf Anfrage mitgeteilt:</w:t>
      </w:r>
    </w:p>
    <w:p>
      <w:pPr>
        <w:ind w:left="567"/>
      </w:pPr>
      <w:r>
        <w:rPr>
          <w:i/>
        </w:rPr>
        <w:t>„Die Öffnung eines erblasserseitig gemieteten Schließfachs ist nur auf Vorlage eines Erbscheins möglich. Bei einer Erbengemeinschaft ohne Testamentsvollstrecker verlangen wir zusätzlich eine einstimmige schriftliche Weisung aller Erben."</w:t>
      </w:r>
    </w:p>
    <w:p>
      <w:pPr>
        <w:jc w:val="left"/>
      </w:pPr>
      <w:r>
        <w:t>Da die Erbengemeinschaft derzeit kein Einvernehmen erzielt — Marlies, Henrike und Marie-Theres haben divergierende Interessen hinsichtlich der Krypto-Assets — ist das Schließfach faktisch blockiert. Constantin (der nicht Erbe ist) hat keinen Zugang.</w:t>
      </w:r>
    </w:p>
    <w:p>
      <w:pPr>
        <w:jc w:val="left"/>
      </w:pPr>
      <w:r>
        <w:t>Sobald der Erbschein vorliegt und alle drei Erben einig sind, könnten sie gemeinsam das Schließfach öffnen und Schlüssel #5 sicherstellen. Bis dahin: Schließfach ist faktisch ein sicherer Tresor für Schlüssel #5.</w:t>
      </w:r>
    </w:p>
    <w:p/>
    <w:p>
      <w:pPr>
        <w:pStyle w:val="Heading2"/>
      </w:pPr>
      <w:r>
        <w:rPr>
          <w:rFonts w:ascii="Times New Roman" w:hAnsi="Times New Roman"/>
        </w:rPr>
        <w:t>6. Zeitkritik</w:t>
      </w:r>
    </w:p>
    <w:p>
      <w:pPr>
        <w:jc w:val="left"/>
      </w:pPr>
      <w:r>
        <w:t>Jeder Tag, an dem Constantin auf die Wallet zugreift (falls er einen Weg findet), ist ein irreversibler Verlust für die Erbengemeinschaft. Blockchain-Transaktionen können nicht rückgängig gemacht werden. Die zivilrechtliche Haftung Constantins (Paragraf 812, Paragraf 823 BGB) ist theoretisch gegeben, aber praktisch schwer durchzusetzen, wenn er die Werte ins Ausland oder in Mixer-Dienste überführt.</w:t>
      </w:r>
    </w:p>
    <w:p>
      <w:pPr>
        <w:jc w:val="left"/>
      </w:pPr>
      <w:r>
        <w:rPr>
          <w:b/>
        </w:rPr>
        <w:t>Dringlichkeitsvermerk:</w:t>
      </w:r>
      <w:r>
        <w:t xml:space="preserve"> Antrag auf einstweilige Verfügung und Sicherungsanordnung Paragraf 1960 BGB sind vorrangig — noch diese Woche.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