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Nachlassinsolvenz und Nachlassverwaltung — Prüfungsvermerk</w:t>
      </w:r>
    </w:p>
    <w:p>
      <w:pPr>
        <w:jc w:val="left"/>
      </w:pPr>
      <w:r>
        <w:rPr>
          <w:b/>
        </w:rPr>
        <w:t>Az.:</w:t>
      </w:r>
      <w:r>
        <w:t xml:space="preserve"> KlKette 025/0422-ERB-EDE</w:t>
      </w:r>
    </w:p>
    <w:p>
      <w:pPr>
        <w:jc w:val="left"/>
      </w:pPr>
      <w:r>
        <w:rPr>
          <w:b/>
        </w:rPr>
        <w:t>Stand:</w:t>
      </w:r>
      <w:r>
        <w:t xml:space="preserve"> 13.05.2025</w:t>
      </w:r>
    </w:p>
    <w:p>
      <w:pPr>
        <w:jc w:val="left"/>
      </w:pPr>
      <w:r>
        <w:rPr>
          <w:b/>
        </w:rPr>
        <w:t>Bearbeitung:</w:t>
      </w:r>
      <w:r>
        <w:t xml:space="preserve"> RAin Steinkamp</w:t>
      </w:r>
    </w:p>
    <w:p/>
    <w:p>
      <w:pPr>
        <w:pStyle w:val="Heading2"/>
      </w:pPr>
      <w:r>
        <w:rPr>
          <w:rFonts w:ascii="Times New Roman" w:hAnsi="Times New Roman"/>
        </w:rPr>
        <w:t>1. Anlass der Prüfung</w:t>
      </w:r>
    </w:p>
    <w:p>
      <w:pPr>
        <w:jc w:val="left"/>
      </w:pPr>
      <w:r>
        <w:t>Der Nachlass weist neben erheblichen Aktiva (ca. 4,16 Mio. EUR) Verbindlichkeiten von 78.000 EUR auf. Das Verhältnis ist auf den ersten Blick unproblematisch. Gleichwohl wird die Frage der Nachlassinsolvenz oder -verwaltung geprüft, weil:</w:t>
      </w:r>
    </w:p>
    <w:p>
      <w:pPr>
        <w:pStyle w:val="ListNumber"/>
      </w:pPr>
      <w:r>
        <w:t>Die Krypto-Assets (ca. 1,1 Mio. EUR) faktisch derzeit nicht liquidierbar sind (Multisig-Problem) und ihr rechtlicher Status streitig ist. Wenn ein Gericht oder Sachverständiger feststellt, dass ein wesentlicher Teil der Krypto-Assets tatsächlich Constantin gehört (Schenkung vollzogen), würde der zugängliche Nachlass erheblich kleiner.</w:t>
      </w:r>
    </w:p>
    <w:p>
      <w:pPr>
        <w:pStyle w:val="ListNumber"/>
      </w:pPr>
      <w:r>
        <w:t>Die Erbengemeinschaft haftet zunächst unbeschränkt für Nachlassverbindlichkeiten (Paragraf 1967 BGB). Wenn die Aktiva sich durch Krypto-Streit, Kursverluste oder Anfechtungen reduzieren, könnte eine persönliche Haftung der Erben entstehen.</w:t>
      </w:r>
    </w:p>
    <w:p>
      <w:pPr>
        <w:pStyle w:val="ListNumber"/>
      </w:pPr>
      <w:r>
        <w:t>Das Steuerrisiko ist noch nicht abschließend geklärt (→ Aktenstück 23): Steuernachzahlungen könnten den Passivposten erhöhen.</w:t>
      </w:r>
    </w:p>
    <w:p/>
    <w:p>
      <w:pPr>
        <w:pStyle w:val="Heading2"/>
      </w:pPr>
      <w:r>
        <w:rPr>
          <w:rFonts w:ascii="Times New Roman" w:hAnsi="Times New Roman"/>
        </w:rPr>
        <w:t>2. Instrument: Nachlassverwaltung (Paragrafen 1975 ff. BGB)</w:t>
      </w:r>
    </w:p>
    <w:p>
      <w:pPr>
        <w:jc w:val="left"/>
      </w:pPr>
      <w:r>
        <w:t xml:space="preserve">Die Nachlassverwaltung ist ein Instrument zur </w:t>
      </w:r>
      <w:r>
        <w:rPr>
          <w:b/>
        </w:rPr>
        <w:t>Haftungsbeschränkung</w:t>
      </w:r>
      <w:r>
        <w:t xml:space="preserve"> für Erben: Wenn ein Erbe nicht sicher ist, ob der Nachlass alle Verbindlichkeiten deckt, kann er Nachlassverwaltung beantragen. Das Gericht bestellt dann einen Nachlassverwalter; die Erben haften nur noch mit dem Nachlass, nicht mit dem Eigenvermögen.</w:t>
      </w:r>
    </w:p>
    <w:p>
      <w:pPr>
        <w:jc w:val="left"/>
      </w:pPr>
      <w:r>
        <w:rPr>
          <w:b/>
        </w:rPr>
        <w:t>Voraussetzung:</w:t>
      </w:r>
      <w:r>
        <w:t xml:space="preserve"> Antrag eines Erben oder eines Nachlassgläubigers beim Nachlassgericht; Überschuldung oder Zahlungsunfähigkeit des Nachlasses muss drohen (Paragraf 1981 Abs. 1 BGB — Antrag des Erben: wenn Befriedigung der Nachlassgläubiger durch Handlungen eines anderen Erben gefährdet).</w:t>
      </w:r>
    </w:p>
    <w:p>
      <w:pPr>
        <w:jc w:val="left"/>
      </w:pPr>
      <w:r>
        <w:rPr>
          <w:b/>
        </w:rPr>
        <w:t>Für Henrike relevant?</w:t>
      </w:r>
    </w:p>
    <w:p>
      <w:pPr>
        <w:pStyle w:val="ListBullet"/>
      </w:pPr>
      <w:r>
        <w:t>Henrikes Eigenvermögen ist überschaubar (Arztpraxis, Konstanz-Wohnung mit Hypothek). Sie hat ein Interesse daran, nicht mit ihrem Privatvermögen für etwaige Steuerschulden oder Verbindlichkeiten Edelmanns zu haften.</w:t>
      </w:r>
    </w:p>
    <w:p>
      <w:pPr>
        <w:pStyle w:val="ListBullet"/>
      </w:pPr>
      <w:r>
        <w:t>Nachlassverwaltung würde auch die Krypto-Assets unter die Kontrolle eines Nachlassverwalters stellen — das könnte die Sicherungsproblematik gegenüber Constantin lösen.</w:t>
      </w:r>
    </w:p>
    <w:p>
      <w:pPr>
        <w:jc w:val="left"/>
      </w:pPr>
      <w:r>
        <w:rPr>
          <w:b/>
        </w:rPr>
        <w:t>Nachteil:</w:t>
      </w:r>
      <w:r>
        <w:t xml:space="preserve"> Kosten des Verwalters; Kontrollverlust der Erben; Verfahrensdauer.</w:t>
      </w:r>
    </w:p>
    <w:p>
      <w:pPr>
        <w:jc w:val="left"/>
      </w:pPr>
      <w:r>
        <w:rPr>
          <w:b/>
        </w:rPr>
        <w:t>Ergebnis:</w:t>
      </w:r>
      <w:r>
        <w:t xml:space="preserve"> Nachlassverwaltung derzeit nicht empfohlen, da Nachlass eindeutig solvent ist. Nur falls Krypto-Assets vollständig wegfallen (Schlechtfall-Szenario) oder Steueransprüche erheblich steigen: erneute Prüfung.</w:t>
      </w:r>
    </w:p>
    <w:p/>
    <w:p>
      <w:pPr>
        <w:pStyle w:val="Heading2"/>
      </w:pPr>
      <w:r>
        <w:rPr>
          <w:rFonts w:ascii="Times New Roman" w:hAnsi="Times New Roman"/>
        </w:rPr>
        <w:t>3. Instrument: Nachlassinsolvenz (Paragrafen 315 ff. InsO)</w:t>
      </w:r>
    </w:p>
    <w:p>
      <w:pPr>
        <w:jc w:val="left"/>
      </w:pPr>
      <w:r>
        <w:t>Die Nachlassinsolvenz kommt in Betracht, wenn der Nachlass zahlungsunfähig oder überschuldet ist (Paragrafen 315, 320 InsO).</w:t>
      </w:r>
    </w:p>
    <w:p>
      <w:pPr>
        <w:jc w:val="left"/>
      </w:pPr>
      <w:r>
        <w:rPr>
          <w:b/>
        </w:rPr>
        <w:t>Überschuldung:</w:t>
      </w:r>
      <w:r>
        <w:t xml:space="preserve"> Aktiva (4,16 Mio. EUR) übersteigen Passiva (78 TEUR) um ein Vielfaches. Keine Nachlassinsolvenz erforderlich oder sinnvoll.</w:t>
      </w:r>
    </w:p>
    <w:p>
      <w:pPr>
        <w:jc w:val="left"/>
      </w:pPr>
      <w:r>
        <w:rPr>
          <w:b/>
        </w:rPr>
        <w:t>Zahlungsunfähigkeit:</w:t>
      </w:r>
      <w:r>
        <w:t xml:space="preserve"> Wenn der Nachlass kurzfristig nicht zahlen kann (z. B. Steuernachzahlung fällig, Liquiditätsmangel), obwohl Aktiva langfristig vorhanden. Hier: Cash im Depot (103 TEUR) übersteigt akute Verbindlichkeiten (78 TEUR) knapp. Engpass theoretisch möglich, wenn Bank keine Auszahlung ohne Erbschein erlaubt und gleichzeitig Gläubiger drängen.</w:t>
      </w:r>
    </w:p>
    <w:p>
      <w:pPr>
        <w:jc w:val="left"/>
      </w:pPr>
      <w:r>
        <w:rPr>
          <w:b/>
        </w:rPr>
        <w:t>Handlungsempfehlung:</w:t>
      </w:r>
      <w:r>
        <w:t xml:space="preserve"> Pflegekosten und Steuernachzahlung dringend klären. Finanzamt Stuttgart-Süd um Stundung bitten bis Erbscheinserteilung; Pflegedienst Caritas ebenfalls. Risiko der Nachlassinsolvenz ist derzeit sehr gering.</w:t>
      </w:r>
    </w:p>
    <w:p/>
    <w:p>
      <w:pPr>
        <w:pStyle w:val="Heading2"/>
      </w:pPr>
      <w:r>
        <w:rPr>
          <w:rFonts w:ascii="Times New Roman" w:hAnsi="Times New Roman"/>
        </w:rPr>
        <w:t>4. Vorläufige Haftungsbegrenzung</w:t>
      </w:r>
    </w:p>
    <w:p>
      <w:pPr>
        <w:jc w:val="left"/>
      </w:pPr>
      <w:r>
        <w:t>Selbst ohne Nachlassverwaltung oder -insolvenz haben die Erben Möglichkeiten zur Haftungsbeschränkung:</w:t>
      </w:r>
    </w:p>
    <w:p>
      <w:pPr>
        <w:pStyle w:val="Heading3"/>
      </w:pPr>
      <w:r>
        <w:rPr>
          <w:rFonts w:ascii="Times New Roman" w:hAnsi="Times New Roman"/>
        </w:rPr>
        <w:t>4.1 Inventarerrichtung (Paragraf 1993 ff. BGB)</w:t>
      </w:r>
    </w:p>
    <w:p>
      <w:pPr>
        <w:jc w:val="left"/>
      </w:pPr>
      <w:r>
        <w:t>Jeder Erbe kann beim Nachlassgericht ein Inventar errichten lassen (Paragraf 1993 BGB) und hat dann drei Monate Zeit; danach haftet er nur mit dem Inventar. Dies ist zu empfehlen, wenn die Nachlassverbindlichkeiten nicht vollständig bekannt sind.</w:t>
      </w:r>
    </w:p>
    <w:p>
      <w:pPr>
        <w:jc w:val="left"/>
      </w:pPr>
      <w:r>
        <w:rPr>
          <w:b/>
        </w:rPr>
        <w:t>Empfehlung:</w:t>
      </w:r>
      <w:r>
        <w:t xml:space="preserve"> Henrike sollte das Inventar formell beanspruchen — das kostet wenig und schützt. Antrag beim Nachlassgericht Stuttgart.</w:t>
      </w:r>
    </w:p>
    <w:p>
      <w:pPr>
        <w:pStyle w:val="Heading3"/>
      </w:pPr>
      <w:r>
        <w:rPr>
          <w:rFonts w:ascii="Times New Roman" w:hAnsi="Times New Roman"/>
        </w:rPr>
        <w:t>4.2 Dreimonatseinrede (Paragraf 2014 BGB)</w:t>
      </w:r>
    </w:p>
    <w:p>
      <w:pPr>
        <w:jc w:val="left"/>
      </w:pPr>
      <w:r>
        <w:t>Die Erben können innerhalb der ersten drei Monate nach Annahme der Erbschaft die Befriedigung von Nachlassgläubigern verweigern (Dreimonatseinrede). Diese Frist läuft ab Erbschaftsannahme; da Annahme durch Verstreichen der Ausschlagungsfrist (12.05.2025 für Henrike) gilt: Einrede bis 12.08.2025.</w:t>
      </w:r>
    </w:p>
    <w:p>
      <w:pPr>
        <w:jc w:val="left"/>
      </w:pPr>
      <w:r>
        <w:rPr>
          <w:b/>
        </w:rPr>
        <w:t>Anwendung:</w:t>
      </w:r>
      <w:r>
        <w:t xml:space="preserve"> Wenn Gläubiger (Finanzamt, Pflegedienst) jetzt zahlen wollen — Dreimonatseinrede einlegen, bis der Nachlass vollständig inventarisiert ist.</w:t>
      </w:r>
    </w:p>
    <w:p>
      <w:pPr>
        <w:pStyle w:val="Heading3"/>
      </w:pPr>
      <w:r>
        <w:rPr>
          <w:rFonts w:ascii="Times New Roman" w:hAnsi="Times New Roman"/>
        </w:rPr>
        <w:t>4.3 Aufgebotsverfahren (Paragrafen 1970 ff. BGB)</w:t>
      </w:r>
    </w:p>
    <w:p>
      <w:pPr>
        <w:jc w:val="left"/>
      </w:pPr>
      <w:r>
        <w:t>Das Aufgebotsverfahren ermöglicht es der Erbengemeinschaft, öffentlich alle Nachlassgläubiger aufzufordern, sich zu melden. Gläubiger, die sich nicht melden, verlieren ihre Forderungen (Paragraf 1973 BGB). Sinnvoll, wenn unklar ist, ob weitere Verbindlichkeiten existieren.</w:t>
      </w:r>
    </w:p>
    <w:p>
      <w:pPr>
        <w:jc w:val="left"/>
      </w:pPr>
      <w:r>
        <w:rPr>
          <w:b/>
        </w:rPr>
        <w:t>Empfehlung:</w:t>
      </w:r>
      <w:r>
        <w:t xml:space="preserve"> Aufgebotsverfahren beantragen, sobald Erbschein vorliegt — saubert die Passivseite des Nachlasses.</w:t>
      </w:r>
    </w:p>
    <w:p/>
    <w:p>
      <w:pPr>
        <w:pStyle w:val="Heading2"/>
      </w:pPr>
      <w:r>
        <w:rPr>
          <w:rFonts w:ascii="Times New Roman" w:hAnsi="Times New Roman"/>
        </w:rPr>
        <w:t>5. Ergebnis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Instrument</w:t>
            </w:r>
          </w:p>
        </w:tc>
        <w:tc>
          <w:tcPr>
            <w:tcW w:type="dxa" w:w="4536"/>
          </w:tcPr>
          <w:p>
            <w:r>
              <w:rPr>
                <w:rFonts w:ascii="Times New Roman" w:hAnsi="Times New Roman"/>
                <w:b/>
                <w:sz w:val="20"/>
              </w:rPr>
              <w:t>Empfehlung</w:t>
            </w:r>
          </w:p>
        </w:tc>
      </w:tr>
      <w:tr>
        <w:tc>
          <w:tcPr>
            <w:tcW w:type="dxa" w:w="4536"/>
          </w:tcPr>
          <w:p>
            <w:r>
              <w:rPr>
                <w:rFonts w:ascii="Times New Roman" w:hAnsi="Times New Roman"/>
                <w:sz w:val="20"/>
              </w:rPr>
              <w:t>Nachlassverwaltung</w:t>
            </w:r>
          </w:p>
        </w:tc>
        <w:tc>
          <w:tcPr>
            <w:tcW w:type="dxa" w:w="4536"/>
          </w:tcPr>
          <w:p>
            <w:r>
              <w:rPr>
                <w:rFonts w:ascii="Times New Roman" w:hAnsi="Times New Roman"/>
                <w:sz w:val="20"/>
              </w:rPr>
              <w:t>Nicht empfohlen (Nachlass ist solvent); Option für Schlechtfall</w:t>
            </w:r>
          </w:p>
        </w:tc>
      </w:tr>
      <w:tr>
        <w:tc>
          <w:tcPr>
            <w:tcW w:type="dxa" w:w="4536"/>
          </w:tcPr>
          <w:p>
            <w:r>
              <w:rPr>
                <w:rFonts w:ascii="Times New Roman" w:hAnsi="Times New Roman"/>
                <w:sz w:val="20"/>
              </w:rPr>
              <w:t>Nachlassinsolvenz</w:t>
            </w:r>
          </w:p>
        </w:tc>
        <w:tc>
          <w:tcPr>
            <w:tcW w:type="dxa" w:w="4536"/>
          </w:tcPr>
          <w:p>
            <w:r>
              <w:rPr>
                <w:rFonts w:ascii="Times New Roman" w:hAnsi="Times New Roman"/>
                <w:sz w:val="20"/>
              </w:rPr>
              <w:t>Nicht erforderlich</w:t>
            </w:r>
          </w:p>
        </w:tc>
      </w:tr>
      <w:tr>
        <w:tc>
          <w:tcPr>
            <w:tcW w:type="dxa" w:w="4536"/>
          </w:tcPr>
          <w:p>
            <w:r>
              <w:rPr>
                <w:rFonts w:ascii="Times New Roman" w:hAnsi="Times New Roman"/>
                <w:sz w:val="20"/>
              </w:rPr>
              <w:t>Inventarerrichtung</w:t>
            </w:r>
          </w:p>
        </w:tc>
        <w:tc>
          <w:tcPr>
            <w:tcW w:type="dxa" w:w="4536"/>
          </w:tcPr>
          <w:p>
            <w:r>
              <w:rPr>
                <w:rFonts w:ascii="Times New Roman" w:hAnsi="Times New Roman"/>
                <w:sz w:val="20"/>
              </w:rPr>
              <w:t>Empfohlen — sofort beantragen</w:t>
            </w:r>
          </w:p>
        </w:tc>
      </w:tr>
      <w:tr>
        <w:tc>
          <w:tcPr>
            <w:tcW w:type="dxa" w:w="4536"/>
          </w:tcPr>
          <w:p>
            <w:r>
              <w:rPr>
                <w:rFonts w:ascii="Times New Roman" w:hAnsi="Times New Roman"/>
                <w:sz w:val="20"/>
              </w:rPr>
              <w:t>Dreimonatseinrede</w:t>
            </w:r>
          </w:p>
        </w:tc>
        <w:tc>
          <w:tcPr>
            <w:tcW w:type="dxa" w:w="4536"/>
          </w:tcPr>
          <w:p>
            <w:r>
              <w:rPr>
                <w:rFonts w:ascii="Times New Roman" w:hAnsi="Times New Roman"/>
                <w:sz w:val="20"/>
              </w:rPr>
              <w:t>Einlegen wenn Gläubiger drängen, bis 12.08.2025</w:t>
            </w:r>
          </w:p>
        </w:tc>
      </w:tr>
      <w:tr>
        <w:tc>
          <w:tcPr>
            <w:tcW w:type="dxa" w:w="4536"/>
          </w:tcPr>
          <w:p>
            <w:r>
              <w:rPr>
                <w:rFonts w:ascii="Times New Roman" w:hAnsi="Times New Roman"/>
                <w:sz w:val="20"/>
              </w:rPr>
              <w:t>Aufgebotsverfahren</w:t>
            </w:r>
          </w:p>
        </w:tc>
        <w:tc>
          <w:tcPr>
            <w:tcW w:type="dxa" w:w="4536"/>
          </w:tcPr>
          <w:p>
            <w:r>
              <w:rPr>
                <w:rFonts w:ascii="Times New Roman" w:hAnsi="Times New Roman"/>
                <w:sz w:val="20"/>
              </w:rPr>
              <w:t>Nach Erbschein beantragen</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