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Strategienotiz und Vergleichskorridor — Interne Kanzleinotiz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Datum:</w:t>
      </w:r>
      <w:r>
        <w:t xml:space="preserve"> 22.05.2025</w:t>
      </w:r>
    </w:p>
    <w:p>
      <w:pPr>
        <w:jc w:val="left"/>
      </w:pPr>
      <w:r>
        <w:rPr>
          <w:b/>
        </w:rPr>
        <w:t>Bearbeitung:</w:t>
      </w:r>
      <w:r>
        <w:t xml:space="preserve"> RAin Steinkamp</w:t>
      </w:r>
    </w:p>
    <w:p>
      <w:pPr>
        <w:jc w:val="left"/>
      </w:pPr>
      <w:r>
        <w:rPr>
          <w:b/>
        </w:rPr>
        <w:t>Vertraulich — nur Kanzlei intern / Mandantin</w:t>
      </w:r>
    </w:p>
    <w:p/>
    <w:p>
      <w:pPr>
        <w:pStyle w:val="Heading2"/>
      </w:pPr>
      <w:r>
        <w:rPr>
          <w:rFonts w:ascii="Times New Roman" w:hAnsi="Times New Roman"/>
        </w:rPr>
        <w:t>1. Ausgangsbewertung: Kräfteverhältnisse</w:t>
      </w:r>
    </w:p>
    <w:p>
      <w:pPr>
        <w:pStyle w:val="Heading3"/>
      </w:pPr>
      <w:r>
        <w:rPr>
          <w:rFonts w:ascii="Times New Roman" w:hAnsi="Times New Roman"/>
        </w:rPr>
        <w:t>1.1 Henrikes Stärken</w:t>
      </w:r>
    </w:p>
    <w:p>
      <w:pPr>
        <w:pStyle w:val="ListBullet"/>
      </w:pPr>
      <w:r>
        <w:t>Sie ist Miterbin zu 1/3 und hat damit volle Erbrechtsposition.</w:t>
      </w:r>
    </w:p>
    <w:p>
      <w:pPr>
        <w:pStyle w:val="ListBullet"/>
      </w:pPr>
      <w:r>
        <w:t>Sie hat Pflichtteilsergänzungsanspruch gegen Constantin (Höhe streitig, aber real vorhanden).</w:t>
      </w:r>
    </w:p>
    <w:p>
      <w:pPr>
        <w:pStyle w:val="ListBullet"/>
      </w:pPr>
      <w:r>
        <w:t>Die einstweilige Verfügung gegen Constantin ist aussichtsreich.</w:t>
      </w:r>
    </w:p>
    <w:p>
      <w:pPr>
        <w:pStyle w:val="ListBullet"/>
      </w:pPr>
      <w:r>
        <w:t>Die Krypto-Wallet ist ohne Kooperation für Constantin technisch nicht zugänglich (Multisig-Quorum).</w:t>
      </w:r>
    </w:p>
    <w:p>
      <w:pPr>
        <w:pStyle w:val="ListBullet"/>
      </w:pPr>
      <w:r>
        <w:t>Das Bankschließfach ist sicher (Volksbank verlangt einstimmige Erbenanweisung).</w:t>
      </w:r>
    </w:p>
    <w:p>
      <w:pPr>
        <w:pStyle w:val="ListBullet"/>
      </w:pPr>
      <w:r>
        <w:t>Zeitlich: Constantin hat nichts zu gewinnen, wenn er wartet. Kursrisiko trägt er.</w:t>
      </w:r>
    </w:p>
    <w:p>
      <w:pPr>
        <w:pStyle w:val="Heading3"/>
      </w:pPr>
      <w:r>
        <w:rPr>
          <w:rFonts w:ascii="Times New Roman" w:hAnsi="Times New Roman"/>
        </w:rPr>
        <w:t>1.2 Henrikes Schwächen</w:t>
      </w:r>
    </w:p>
    <w:p>
      <w:pPr>
        <w:pStyle w:val="ListBullet"/>
      </w:pPr>
      <w:r>
        <w:t>Sie ist auf die Kooperation von Marlies und Marie-Theres für Beschlüsse der Erbengemeinschaft angewiesen (Paragraf 2038 BGB).</w:t>
      </w:r>
    </w:p>
    <w:p>
      <w:pPr>
        <w:pStyle w:val="ListBullet"/>
      </w:pPr>
      <w:r>
        <w:t>Ihr Interesse an schneller Auseinandersetzung (wegen Bankkredits Konstanz) setzt sie unter Zeitdruck.</w:t>
      </w:r>
    </w:p>
    <w:p>
      <w:pPr>
        <w:pStyle w:val="ListBullet"/>
      </w:pPr>
      <w:r>
        <w:t>Marlies hat das Haus inne; eine Teilungsversteigerung wäre langwierig (18–24 Monate) und teuer.</w:t>
      </w:r>
    </w:p>
    <w:p>
      <w:pPr>
        <w:pStyle w:val="ListBullet"/>
      </w:pPr>
      <w:r>
        <w:t>Der Streit mit Constantin könnte Jahre dauern, wenn er nicht kooperiert.</w:t>
      </w:r>
    </w:p>
    <w:p>
      <w:pPr>
        <w:pStyle w:val="Heading3"/>
      </w:pPr>
      <w:r>
        <w:rPr>
          <w:rFonts w:ascii="Times New Roman" w:hAnsi="Times New Roman"/>
        </w:rPr>
        <w:t>1.3 Marlies' Stärken</w:t>
      </w:r>
    </w:p>
    <w:p>
      <w:pPr>
        <w:pStyle w:val="ListBullet"/>
      </w:pPr>
      <w:r>
        <w:t>Wohnrecht ist rechtlich gesichert (Testament, Vorausvermächtnis).</w:t>
      </w:r>
    </w:p>
    <w:p>
      <w:pPr>
        <w:pStyle w:val="ListBullet"/>
      </w:pPr>
      <w:r>
        <w:t>Sie hat den Erblasser-Stick und gibt ihn nicht heraus — Druckmittel.</w:t>
      </w:r>
    </w:p>
    <w:p>
      <w:pPr>
        <w:pStyle w:val="ListBullet"/>
      </w:pPr>
      <w:r>
        <w:t>Paragraf 1932 BGB Voraus-Anspruch auf Hausrat ist ein weiteres Verhandlungsmittel.</w:t>
      </w:r>
    </w:p>
    <w:p>
      <w:pPr>
        <w:pStyle w:val="ListBullet"/>
      </w:pPr>
      <w:r>
        <w:t>Lebensversicherung 230 TEUR hat sie bereits — kein Nachlassbestand.</w:t>
      </w:r>
    </w:p>
    <w:p>
      <w:pPr>
        <w:pStyle w:val="Heading3"/>
      </w:pPr>
      <w:r>
        <w:rPr>
          <w:rFonts w:ascii="Times New Roman" w:hAnsi="Times New Roman"/>
        </w:rPr>
        <w:t>1.4 Marlies' Schwächen</w:t>
      </w:r>
    </w:p>
    <w:p>
      <w:pPr>
        <w:pStyle w:val="ListBullet"/>
      </w:pPr>
      <w:r>
        <w:t>Sie hat 1/3 Erbteil, also keine Sperrminorität.</w:t>
      </w:r>
    </w:p>
    <w:p>
      <w:pPr>
        <w:pStyle w:val="ListBullet"/>
      </w:pPr>
      <w:r>
        <w:t>Sie braucht die Einigung mit Henrike und Marie-Theres für praktisch jede Verwaltungsmaßnahme.</w:t>
      </w:r>
    </w:p>
    <w:p>
      <w:pPr>
        <w:pStyle w:val="ListBullet"/>
      </w:pPr>
      <w:r>
        <w:t>Allein kann sie das Haus nicht veräußern oder belasten.</w:t>
      </w:r>
    </w:p>
    <w:p>
      <w:pPr>
        <w:pStyle w:val="ListBullet"/>
      </w:pPr>
      <w:r>
        <w:t>Sie kann das Wohnrecht nicht in Liquidität umwandeln, wenn sie im Haus wohnen bleibt.</w:t>
      </w:r>
    </w:p>
    <w:p>
      <w:pPr>
        <w:pStyle w:val="Heading3"/>
      </w:pPr>
      <w:r>
        <w:rPr>
          <w:rFonts w:ascii="Times New Roman" w:hAnsi="Times New Roman"/>
        </w:rPr>
        <w:t>1.5 Constantins Stärken</w:t>
      </w:r>
    </w:p>
    <w:p>
      <w:pPr>
        <w:pStyle w:val="ListBullet"/>
      </w:pPr>
      <w:r>
        <w:t>Er hat zwei Schlüssel und ist faktisch der einzige mit Krypto-Kompetenz.</w:t>
      </w:r>
    </w:p>
    <w:p>
      <w:pPr>
        <w:pStyle w:val="ListBullet"/>
      </w:pPr>
      <w:r>
        <w:t>Wenn niemand kooperiert: Geld in der Wallet ist auch für Henrike und Marlies unzugänglich.</w:t>
      </w:r>
    </w:p>
    <w:p>
      <w:pPr>
        <w:pStyle w:val="ListBullet"/>
      </w:pPr>
      <w:r>
        <w:t>Strategisch: Er kann Zeit kaufen und auf Kursanstieg setzen.</w:t>
      </w:r>
    </w:p>
    <w:p>
      <w:pPr>
        <w:pStyle w:val="Heading3"/>
      </w:pPr>
      <w:r>
        <w:rPr>
          <w:rFonts w:ascii="Times New Roman" w:hAnsi="Times New Roman"/>
        </w:rPr>
        <w:t>1.6 Constantins Schwächen</w:t>
      </w:r>
    </w:p>
    <w:p>
      <w:pPr>
        <w:pStyle w:val="ListBullet"/>
      </w:pPr>
      <w:r>
        <w:t>Seine Ausschlagung könnte unwirksam sein — er wäre dann als Erbe in die Gemeinschaft gezwungen.</w:t>
      </w:r>
    </w:p>
    <w:p>
      <w:pPr>
        <w:pStyle w:val="ListBullet"/>
      </w:pPr>
      <w:r>
        <w:t>Pflichtteilsergänzungspflicht (Paragraf 2329 BGB) besteht unabhängig von seiner Erbenstellung.</w:t>
      </w:r>
    </w:p>
    <w:p>
      <w:pPr>
        <w:pStyle w:val="ListBullet"/>
      </w:pPr>
      <w:r>
        <w:t>Einstweilige Verfügung kann ihn de facto einfrieren.</w:t>
      </w:r>
    </w:p>
    <w:p>
      <w:pPr>
        <w:pStyle w:val="ListBullet"/>
      </w:pPr>
      <w:r>
        <w:t>Strafrechtliches Risiko bei eigenmächtigem Wallet-Zugriff.</w:t>
      </w:r>
    </w:p>
    <w:p>
      <w:pPr>
        <w:pStyle w:val="ListBullet"/>
      </w:pPr>
      <w:r>
        <w:t>Öffentlichkeitsrisiko: Als Mathematiker und Krypto-Entwickler kann er Reputationsschaden nicht riskieren.</w:t>
      </w:r>
    </w:p>
    <w:p/>
    <w:p>
      <w:pPr>
        <w:pStyle w:val="Heading2"/>
      </w:pPr>
      <w:r>
        <w:rPr>
          <w:rFonts w:ascii="Times New Roman" w:hAnsi="Times New Roman"/>
        </w:rPr>
        <w:t>2. Szenarien und Vergleichskorridore</w:t>
      </w:r>
    </w:p>
    <w:p>
      <w:pPr>
        <w:pStyle w:val="Heading3"/>
      </w:pPr>
      <w:r>
        <w:rPr>
          <w:rFonts w:ascii="Times New Roman" w:hAnsi="Times New Roman"/>
        </w:rPr>
        <w:t>Szenario 1: Volles Klagerisiko (Worst Case für alle)</w:t>
      </w:r>
    </w:p>
    <w:p>
      <w:pPr>
        <w:jc w:val="left"/>
      </w:pPr>
      <w:r>
        <w:t>Wenn alle Parteien auf Maximalpositionen bestehen und kein Vergleich zustande kommt:</w:t>
      </w:r>
    </w:p>
    <w:p>
      <w:pPr>
        <w:pStyle w:val="ListBullet"/>
      </w:pPr>
      <w:r>
        <w:t>Zwei Verfahren: (a) Pflichtteilsergänzungsklage Henrike gegen Constantin; (b) Auseinandersetzungsklage Erbengemeinschaft.</w:t>
      </w:r>
    </w:p>
    <w:p>
      <w:pPr>
        <w:pStyle w:val="ListBullet"/>
      </w:pPr>
      <w:r>
        <w:t>Zeitrahmen: 3–6 Jahre (Gutachten, Instanzenzug).</w:t>
      </w:r>
    </w:p>
    <w:p>
      <w:pPr>
        <w:pStyle w:val="ListBullet"/>
      </w:pPr>
      <w:r>
        <w:t>Gesamtkosten aller Parteien: ca. 400.000–600.000 EUR Anwalts- und Gerichtskosten.</w:t>
      </w:r>
    </w:p>
    <w:p>
      <w:pPr>
        <w:pStyle w:val="ListBullet"/>
      </w:pPr>
      <w:r>
        <w:t>Ergebnis: Wallet möglicherweise immer noch blockiert (technisches Problem).</w:t>
      </w:r>
    </w:p>
    <w:p>
      <w:pPr>
        <w:pStyle w:val="ListBullet"/>
      </w:pPr>
      <w:r>
        <w:t>Kursrisiko Krypto: erheblich.</w:t>
      </w:r>
    </w:p>
    <w:p>
      <w:pPr>
        <w:jc w:val="left"/>
      </w:pPr>
      <w:r>
        <w:rPr>
          <w:b/>
        </w:rPr>
        <w:t>Kein vernünftiger Ausgang für irgendeine Partei.</w:t>
      </w:r>
    </w:p>
    <w:p>
      <w:pPr>
        <w:pStyle w:val="Heading3"/>
      </w:pPr>
      <w:r>
        <w:rPr>
          <w:rFonts w:ascii="Times New Roman" w:hAnsi="Times New Roman"/>
        </w:rPr>
        <w:t>Szenario 2: Vergleich Krypto-Fokus (Mittelweg)</w:t>
      </w:r>
    </w:p>
    <w:p>
      <w:pPr>
        <w:jc w:val="left"/>
      </w:pPr>
      <w:r>
        <w:t>Constantin zahlt Pflichtteilsergänzung an Henrike und übernimmt die Krypto-Assets vollständig. Erbengemeinschaft erhält ansonsten die übrigen Nachlassteile.</w:t>
      </w:r>
    </w:p>
    <w:p>
      <w:pPr>
        <w:jc w:val="left"/>
      </w:pPr>
      <w:r>
        <w:t>Krypto-Bewertung zum Stichtagskurs (12.03.2025): 1.100.000 EUR.</w:t>
      </w:r>
    </w:p>
    <w:p>
      <w:pPr>
        <w:jc w:val="left"/>
      </w:pPr>
      <w:r>
        <w:t>Constantins bisherige Schenkungen: 380.000 EUR (Bargeld) + ca. 66.000 EUR (Krypto-Trans.) = 446.000 EUR.</w:t>
      </w:r>
    </w:p>
    <w:p>
      <w:pPr>
        <w:jc w:val="left"/>
      </w:pPr>
      <w:r>
        <w:rPr>
          <w:b/>
        </w:rPr>
        <w:t>Rechenmodell Vergleich (Grundvariante):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Henrike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Marlies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Marie-Theres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Constantin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Anteil Reinnachlass (ohne Krypto = 2.982.000 EUR) à 1/3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994.000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994.000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994.000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Krypto (übernimmt Constantin)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1.100.000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Abzug Schenkungen Constantin (angerechnet)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−380.000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Pflichtteilsergänzung an Henrike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+75.000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−75.000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Wohnrecht Barwert Marlies (aus Grundstücksanteil)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−116.000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+116.000 EUR (Wohnrecht)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−116.000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953.000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1.110.000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878.000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645.000 EUR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(inkl. LV 230 TEUR)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jc w:val="left"/>
      </w:pPr>
      <w:r>
        <w:rPr>
          <w:i/>
        </w:rPr>
        <w:t>Dies ist ein vereinfachtes Modell; die tatsächliche Auseinandersetzung hängt von den finalen Gutachtenwerten ab.</w:t>
      </w:r>
    </w:p>
    <w:p>
      <w:pPr>
        <w:pStyle w:val="Heading3"/>
      </w:pPr>
      <w:r>
        <w:rPr>
          <w:rFonts w:ascii="Times New Roman" w:hAnsi="Times New Roman"/>
        </w:rPr>
        <w:t>Szenario 3: Alle Parteien kooperieren (Best Case)</w:t>
      </w:r>
    </w:p>
    <w:p>
      <w:pPr>
        <w:pStyle w:val="ListBullet"/>
      </w:pPr>
      <w:r>
        <w:t>Erbschein in 4–6 Wochen.</w:t>
      </w:r>
    </w:p>
    <w:p>
      <w:pPr>
        <w:pStyle w:val="ListBullet"/>
      </w:pPr>
      <w:r>
        <w:t>Grundstück wird veräußert; Wohnrecht-Ablösung 350.000 EUR für Marlies.</w:t>
      </w:r>
    </w:p>
    <w:p>
      <w:pPr>
        <w:pStyle w:val="ListBullet"/>
      </w:pPr>
      <w:r>
        <w:t>Krypto: neutrale Verwertung zu Marktpreis (gemeinsam).</w:t>
      </w:r>
    </w:p>
    <w:p>
      <w:pPr>
        <w:pStyle w:val="ListBullet"/>
      </w:pPr>
      <w:r>
        <w:t>Depot-Auszahlung nach Quotenanteilen.</w:t>
      </w:r>
    </w:p>
    <w:p>
      <w:pPr>
        <w:pStyle w:val="ListBullet"/>
      </w:pPr>
      <w:r>
        <w:t>Dauer: ca. 12 Monate.</w:t>
      </w:r>
    </w:p>
    <w:p>
      <w:pPr>
        <w:pStyle w:val="ListBullet"/>
      </w:pPr>
      <w:r>
        <w:t>Kosten: minimal.</w:t>
      </w:r>
    </w:p>
    <w:p/>
    <w:p>
      <w:pPr>
        <w:pStyle w:val="Heading2"/>
      </w:pPr>
      <w:r>
        <w:rPr>
          <w:rFonts w:ascii="Times New Roman" w:hAnsi="Times New Roman"/>
        </w:rPr>
        <w:t>3. Verhandlungsstrategie Kanzlei</w:t>
      </w:r>
    </w:p>
    <w:p>
      <w:pPr>
        <w:pStyle w:val="Heading3"/>
      </w:pPr>
      <w:r>
        <w:rPr>
          <w:rFonts w:ascii="Times New Roman" w:hAnsi="Times New Roman"/>
        </w:rPr>
        <w:t>Phase 1 (jetzt bis 30.05.2025): Sicherung</w:t>
      </w:r>
    </w:p>
    <w:p>
      <w:pPr>
        <w:pStyle w:val="ListBullet"/>
      </w:pPr>
      <w:r>
        <w:t>Einstweilige Verfügung gegen Constantin (Wallet-Sperre).</w:t>
      </w:r>
    </w:p>
    <w:p>
      <w:pPr>
        <w:pStyle w:val="ListBullet"/>
      </w:pPr>
      <w:r>
        <w:t>Antrag Paragraf 1960 BGB (Sicherungsanordnung Erblasser-Stick bei neutralem Treuhänder).</w:t>
      </w:r>
    </w:p>
    <w:p>
      <w:pPr>
        <w:pStyle w:val="ListBullet"/>
      </w:pPr>
      <w:r>
        <w:t>Inventarerrichtung beantragen.</w:t>
      </w:r>
    </w:p>
    <w:p>
      <w:pPr>
        <w:pStyle w:val="ListBullet"/>
      </w:pPr>
      <w:r>
        <w:t>Dreimonatseinrede gegenüber Gläubigern einlegen.</w:t>
      </w:r>
    </w:p>
    <w:p>
      <w:pPr>
        <w:pStyle w:val="Heading3"/>
      </w:pPr>
      <w:r>
        <w:rPr>
          <w:rFonts w:ascii="Times New Roman" w:hAnsi="Times New Roman"/>
        </w:rPr>
        <w:t>Phase 2 (Juni–Juli 2025): Klärung und Druck</w:t>
      </w:r>
    </w:p>
    <w:p>
      <w:pPr>
        <w:pStyle w:val="ListBullet"/>
      </w:pPr>
      <w:r>
        <w:t>Erbschein beantragen und erhalten.</w:t>
      </w:r>
    </w:p>
    <w:p>
      <w:pPr>
        <w:pStyle w:val="ListBullet"/>
      </w:pPr>
      <w:r>
        <w:t>Schließfach öffnen (sobald Einigkeit unter Erben, notfalls Anordnung).</w:t>
      </w:r>
    </w:p>
    <w:p>
      <w:pPr>
        <w:pStyle w:val="ListBullet"/>
      </w:pPr>
      <w:r>
        <w:t>Mediationseinladung formal verschicken.</w:t>
      </w:r>
    </w:p>
    <w:p>
      <w:pPr>
        <w:pStyle w:val="ListBullet"/>
      </w:pPr>
      <w:r>
        <w:t>Constantin mit vorläufiger Berechnung Pflichtteilsergänzung konfrontieren: „Du hast zu zahlen, egal ob Erbe oder nicht."</w:t>
      </w:r>
    </w:p>
    <w:p>
      <w:pPr>
        <w:pStyle w:val="Heading3"/>
      </w:pPr>
      <w:r>
        <w:rPr>
          <w:rFonts w:ascii="Times New Roman" w:hAnsi="Times New Roman"/>
        </w:rPr>
        <w:t>Phase 3 (August 2025): Vergleich oder Klage</w:t>
      </w:r>
    </w:p>
    <w:p>
      <w:pPr>
        <w:pStyle w:val="ListBullet"/>
      </w:pPr>
      <w:r>
        <w:t>Wenn Mediation scheitert: Klageeinreichung LG Stuttgart (Stufenklage Auskunft + Pflichtteilsergänzung).</w:t>
      </w:r>
    </w:p>
    <w:p>
      <w:pPr>
        <w:pStyle w:val="ListBullet"/>
      </w:pPr>
      <w:r>
        <w:t>Gleichzeitig: Teilungsversteigerungsantrag als Druckmittel (nicht gleich vollziehen).</w:t>
      </w:r>
    </w:p>
    <w:p>
      <w:pPr>
        <w:pStyle w:val="ListBullet"/>
      </w:pPr>
      <w:r>
        <w:t>Constantin hat nun konkret: einstweilige Verfügung, laufende Klage, Vergütungsrisiko TV.</w:t>
      </w:r>
    </w:p>
    <w:p/>
    <w:p>
      <w:pPr>
        <w:pStyle w:val="Heading2"/>
      </w:pPr>
      <w:r>
        <w:rPr>
          <w:rFonts w:ascii="Times New Roman" w:hAnsi="Times New Roman"/>
        </w:rPr>
        <w:t>4. Vergleichskorridor für Henrike (Empfehlung)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Mindestforderung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Angestrebter Vergleich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Erbteil Reinnachlass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900.000 EUR netto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Pflichtteilsergänzung gegen Constantin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Ablösung Wohnrecht Marlies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Henrikes Problem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Krypto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Auszahlung anteilig aus Verwertung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 zur Übernahme durch Constantin gegen faire Vergütung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Zeitrahmen Auseinandersetzung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18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