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Hausbesuch</w:t>
            </w:r>
          </w:p>
        </w:tc>
        <w:tc>
          <w:tcPr>
            <w:tcW w:type="dxa" w:w="3402"/>
            <w:vAlign w:val="center"/>
          </w:tcPr>
          <w:p>
            <w:r>
              <w:rPr>
                <w:rFonts w:ascii="Arial" w:hAnsi="Arial"/>
                <w:sz w:val="17"/>
              </w:rPr>
              <w:t>26. Juni 2026, 15:10 bis 16:35 Uhr</w:t>
            </w:r>
          </w:p>
        </w:tc>
      </w:tr>
      <w:tr>
        <w:tc>
          <w:tcPr>
            <w:tcW w:type="dxa" w:w="1984"/>
            <w:vAlign w:val="center"/>
          </w:tcPr>
          <w:p>
            <w:r>
              <w:rPr>
                <w:rFonts w:ascii="Arial" w:hAnsi="Arial"/>
                <w:b/>
                <w:sz w:val="17"/>
              </w:rPr>
              <w:t>Dokumentiert</w:t>
            </w:r>
          </w:p>
        </w:tc>
        <w:tc>
          <w:tcPr>
            <w:tcW w:type="dxa" w:w="3402"/>
            <w:vAlign w:val="center"/>
          </w:tcPr>
          <w:p>
            <w:r>
              <w:rPr>
                <w:rFonts w:ascii="Arial" w:hAnsi="Arial"/>
                <w:sz w:val="17"/>
              </w:rPr>
              <w:t>27. Juni 2026</w:t>
            </w:r>
          </w:p>
        </w:tc>
      </w:tr>
      <w:tr>
        <w:tc>
          <w:tcPr>
            <w:tcW w:type="dxa" w:w="1984"/>
            <w:vAlign w:val="center"/>
          </w:tcPr>
          <w:p>
            <w:r>
              <w:rPr>
                <w:rFonts w:ascii="Arial" w:hAnsi="Arial"/>
                <w:b/>
                <w:sz w:val="17"/>
              </w:rPr>
              <w:t>Fachkräfte</w:t>
            </w:r>
          </w:p>
        </w:tc>
        <w:tc>
          <w:tcPr>
            <w:tcW w:type="dxa" w:w="3402"/>
            <w:vAlign w:val="center"/>
          </w:tcPr>
          <w:p>
            <w:r>
              <w:rPr>
                <w:rFonts w:ascii="Arial" w:hAnsi="Arial"/>
                <w:sz w:val="17"/>
              </w:rPr>
              <w:t>Maren Vogt / Timon Reese</w:t>
            </w:r>
          </w:p>
        </w:tc>
      </w:tr>
    </w:tbl>
    <w:p/>
    <w:p>
      <w:pPr>
        <w:pStyle w:val="Title"/>
      </w:pPr>
      <w:r>
        <w:t>Vermerk über den Hausbesuch bei Familie Aydin</w:t>
      </w:r>
    </w:p>
    <w:p>
      <w:r>
        <w:t>Am 26. Juni fanden getrennte Gespräche mit Derya und Cem Aydin sowie ein Hausbesuch in der bisherigen Ehewohnung statt. Die Kinder Leila und Emir wurden kurz in Anwesenheit einer zweiten Fachkraft gesprochen; eine familiengerichtliche Anhörung wird dadurch nicht ersetzt.</w:t>
      </w:r>
    </w:p>
    <w:p>
      <w:r>
        <w:t>Wohn- und Versorgungslage</w:t>
      </w:r>
    </w:p>
    <w:p>
      <w:r>
        <w:t>Die Wohnung ist für beide Kinder eingerichtet. Lebensmittel, Schulsachen und Medikamente sind vorhanden. Die beschädigte Türzarge im Flur ist sichtbar, die Wohnungstür lässt sich schließen. Derya Aydin wirkte erschöpft, konnte Tagesablauf, Schule und Betreuung aber nachvollziehbar darstellen.</w:t>
      </w:r>
    </w:p>
    <w:p>
      <w:r>
        <w:t>Cem Aydin wohnt vorläufig bei einem Arbeitskollegen. Dort steht nur ein Schlafsofa im Wohnzimmer zur Verfügung; geeignete Übernachtungsmöglichkeiten für beide Kinder bestehen derzeit nicht. Er gab an, kurzfristig eine eigene Wohnung zu suchen.</w:t>
      </w:r>
    </w:p>
    <w:p>
      <w:r>
        <w:t>Gespräche mit den Kindern</w:t>
      </w:r>
    </w:p>
    <w:p>
      <w:r>
        <w:t>Leila wünschte Ruhe, feste Abholzeiten und Kontakt zum Vater außerhalb der Wohnung. Sie wollte nicht über Schuld sprechen. Emir fragte, wann er wieder mit dem Vater Fußball spielen könne, und sagte zugleich, er möge kein Schreien. Sichtbare Verletzungen wurden bei keinem Kind festgestellt.</w:t>
      </w:r>
    </w:p>
    <w:p>
      <w:r>
        <w:t>Vorläufige fachliche Einschätzung</w:t>
      </w:r>
    </w:p>
    <w:p>
      <w:r>
        <w:t>Der Elternkonflikt belastet beide Kinder. Für eine abschließende Aussage zum behaupteten Gewaltgeschehen und zur längerfristigen Umgangsgestaltung reichen die bisherigen Gespräche nicht. Schutzauflagen aus dem laufenden Verfahren sind einzuhalten; Übergaben sollen neutral organisiert werden.</w:t>
      </w:r>
    </w:p>
    <w:p/>
    <w:p>
      <w:r>
        <w:rPr>
          <w:rFonts w:ascii="Arial" w:hAnsi="Arial"/>
          <w:b/>
          <w:sz w:val="20"/>
        </w:rPr>
        <w:t>Maren Vogt</w:t>
        <w:br/>
      </w:r>
      <w:r>
        <w:rPr>
          <w:rFonts w:ascii="Arial" w:hAnsi="Arial"/>
          <w:sz w:val="20"/>
        </w:rPr>
        <w:t>Diplom-Sozialpädagogin</w:t>
        <w:br/>
      </w:r>
      <w:r>
        <w:rPr>
          <w:rFonts w:ascii="Arial" w:hAnsi="Arial"/>
          <w:sz w:val="20"/>
        </w:rPr>
        <w:t>Timon Reese, Sozialarbeiter B.A.</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10a_jugendamt_hausbesuchsvermerk_2026-06-26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A5160"/>
        <w:sz w:val="20"/>
      </w:rPr>
      <w:t>Stadt Essen · Jugendamt · Allgemeiner Sozialer Dienst Süd</w:t>
    </w:r>
  </w:p>
  <w:p>
    <w:pPr>
      <w:spacing w:after="0"/>
      <w:pBdr>
        <w:bottom w:val="single" w:sz="8" w:space="3" w:color="3A5160"/>
      </w:pBdr>
    </w:pPr>
    <w:r>
      <w:rPr>
        <w:rFonts w:ascii="Arial" w:hAnsi="Arial"/>
        <w:sz w:val="16"/>
      </w:rPr>
      <w:t>Ruhrallee 175, 45136 Essen | Telefon 0201 88-51740 | Zeichen ASD-S/26-1487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A51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A51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A516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über den Hausbesuch bei Familie Aydin</dc:title>
  <dc:subject/>
  <dc:creator>Stadt Essen · Jugendamt · Allgemeiner Sozialer Dienst Süd</dc:creator>
  <cp:keywords/>
  <dc:description>generated by python-docx</dc:description>
  <cp:lastModifiedBy/>
  <cp:revision>1</cp:revision>
  <dcterms:created xsi:type="dcterms:W3CDTF">2013-12-23T23:15:00Z</dcterms:created>
  <dcterms:modified xsi:type="dcterms:W3CDTF">2013-12-23T23:15:00Z</dcterms:modified>
  <cp:category/>
</cp:coreProperties>
</file>