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right"/>
        <w:tblLayout w:type="fixed"/>
        <w:tblLook w:firstColumn="1" w:firstRow="1" w:lastColumn="0" w:lastRow="0" w:noHBand="0" w:noVBand="1" w:val="04A0"/>
      </w:tblPr>
      <w:tblGrid>
        <w:gridCol w:w="4762"/>
        <w:gridCol w:w="4762"/>
      </w:tblGrid>
      <w:tr>
        <w:tc>
          <w:tcPr>
            <w:tcW w:type="dxa" w:w="1984"/>
            <w:vAlign w:val="center"/>
          </w:tcPr>
          <w:p>
            <w:r>
              <w:rPr>
                <w:rFonts w:ascii="Arial" w:hAnsi="Arial"/>
                <w:b/>
                <w:sz w:val="17"/>
              </w:rPr>
              <w:t>Autorennummer</w:t>
            </w:r>
          </w:p>
        </w:tc>
        <w:tc>
          <w:tcPr>
            <w:tcW w:type="dxa" w:w="3402"/>
            <w:vAlign w:val="center"/>
          </w:tcPr>
          <w:p>
            <w:r>
              <w:rPr>
                <w:rFonts w:ascii="Arial" w:hAnsi="Arial"/>
                <w:sz w:val="17"/>
              </w:rPr>
              <w:t>KA-7718</w:t>
            </w:r>
          </w:p>
        </w:tc>
      </w:tr>
      <w:tr>
        <w:tc>
          <w:tcPr>
            <w:tcW w:type="dxa" w:w="1984"/>
            <w:vAlign w:val="center"/>
          </w:tcPr>
          <w:p>
            <w:r>
              <w:rPr>
                <w:rFonts w:ascii="Arial" w:hAnsi="Arial"/>
                <w:b/>
                <w:sz w:val="17"/>
              </w:rPr>
              <w:t>Zeitraum</w:t>
            </w:r>
          </w:p>
        </w:tc>
        <w:tc>
          <w:tcPr>
            <w:tcW w:type="dxa" w:w="3402"/>
            <w:vAlign w:val="center"/>
          </w:tcPr>
          <w:p>
            <w:r>
              <w:rPr>
                <w:rFonts w:ascii="Arial" w:hAnsi="Arial"/>
                <w:sz w:val="17"/>
              </w:rPr>
              <w:t>Januar 2025 bis Juni 2026</w:t>
            </w:r>
          </w:p>
        </w:tc>
      </w:tr>
      <w:tr>
        <w:tc>
          <w:tcPr>
            <w:tcW w:type="dxa" w:w="1984"/>
            <w:vAlign w:val="center"/>
          </w:tcPr>
          <w:p>
            <w:r>
              <w:rPr>
                <w:rFonts w:ascii="Arial" w:hAnsi="Arial"/>
                <w:b/>
                <w:sz w:val="17"/>
              </w:rPr>
              <w:t>Erstellt</w:t>
            </w:r>
          </w:p>
        </w:tc>
        <w:tc>
          <w:tcPr>
            <w:tcW w:type="dxa" w:w="3402"/>
            <w:vAlign w:val="center"/>
          </w:tcPr>
          <w:p>
            <w:r>
              <w:rPr>
                <w:rFonts w:ascii="Arial" w:hAnsi="Arial"/>
                <w:sz w:val="17"/>
              </w:rPr>
              <w:t>10. Juni 2026</w:t>
            </w:r>
          </w:p>
        </w:tc>
      </w:tr>
    </w:tbl>
    <w:p/>
    <w:p>
      <w:pPr>
        <w:pStyle w:val="Title"/>
      </w:pPr>
      <w:r>
        <w:t>Honorar- und Beitragsaufstellung Dr. Elena Neumann</w:t>
      </w:r>
    </w:p>
    <w:p>
      <w:r>
        <w:t>Dr. Elena Neumann verfasst in unregelmäßigen Abständen kurze Fachbeiträge für die Zeitschrift Kinderpraxis aktuell. Es besteht kein Dauerschuldverhältnis und keine Mindestabnahme. Honorare werden nach Veröffentlichung und Rechnungsstellung gezahlt.</w:t>
      </w:r>
    </w:p>
    <w:p>
      <w:r>
        <w:t>Im Jahr 2025 wurden vier Beiträge mit zusammen 2400,00 Euro netto vergütet: Fieberkrampf im Bereitschaftsdienst, Impfberatung bei Jugendlichen, Medikamentengabe in der Schule und Kommunikation mit getrennt lebenden Eltern. Die Zahlungen gingen am 18. März, 30. Juni, 22. September und 15. Dezember 2025 ein.</w:t>
      </w:r>
    </w:p>
    <w:p>
      <w:r>
        <w:t>Im Jahr 2026 wurden bis zum 10. Juni zwei Beiträge mit zusammen 900,00 Euro netto abgerechnet. Ein dritter Beitrag zur Telemedizin befindet sich in redaktioneller Prüfung; ein Honorar ist noch nicht zugesagt.</w:t>
      </w:r>
    </w:p>
    <w:p>
      <w:r>
        <w:t>Die Redaktion übernimmt keine Sozialabgaben und erstattet nur vorab vereinbarte Reisekosten. Rechnungen und Zahlungsnachweise sind dieser Aufstellung als Einzelanlagen beigefügt.</w:t>
      </w:r>
    </w:p>
    <w:p/>
    <w:p>
      <w:r>
        <w:rPr>
          <w:rFonts w:ascii="Arial" w:hAnsi="Arial"/>
          <w:b/>
          <w:sz w:val="20"/>
        </w:rPr>
        <w:t>Dr. Ute Kersting</w:t>
        <w:br/>
      </w:r>
      <w:r>
        <w:rPr>
          <w:rFonts w:ascii="Arial" w:hAnsi="Arial"/>
          <w:sz w:val="20"/>
        </w:rPr>
        <w:t>Chefredaktion</w:t>
        <w:br/>
      </w:r>
      <w:r>
        <w:rPr>
          <w:rFonts w:ascii="Arial" w:hAnsi="Arial"/>
          <w:sz w:val="20"/>
        </w:rPr>
        <w:t>Leonie Maisch, Honorarbuchhaltung</w:t>
      </w:r>
    </w:p>
    <w:sectPr w:rsidR="00FC693F" w:rsidRPr="0006063C" w:rsidSect="00034616">
      <w:headerReference w:type="default" r:id="rId9"/>
      <w:footerReference w:type="default" r:id="rId10"/>
      <w:pgSz w:w="11906" w:h="16838"/>
      <w:pgMar w:top="1134" w:right="1134"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sz w:val="14"/>
      </w:rPr>
      <w:t xml:space="preserve">04b_honoraraufstellung_nebentätigkeit_elena | </w:t>
    </w:r>
    <w:r>
      <w:rPr>
        <w:rFonts w:ascii="Arial" w:hAnsi="Arial"/>
        <w:sz w:val="14"/>
      </w:rPr>
      <w:t xml:space="preserve">Seite </w:t>
    </w:r>
    <w:r>
      <w:rPr>
        <w:rFonts w:ascii="Arial" w:hAnsi="Arial"/>
        <w:sz w:val="14"/>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20"/>
    </w:pPr>
    <w:r>
      <w:rPr>
        <w:rFonts w:ascii="Arial" w:hAnsi="Arial"/>
        <w:b/>
        <w:color w:val="6D3C52"/>
        <w:sz w:val="20"/>
      </w:rPr>
      <w:t>Kinderpraxis aktuell · Redaktion</w:t>
    </w:r>
  </w:p>
  <w:p>
    <w:pPr>
      <w:spacing w:after="0"/>
      <w:pBdr>
        <w:bottom w:val="single" w:sz="8" w:space="3" w:color="6D3C52"/>
      </w:pBdr>
    </w:pPr>
    <w:r>
      <w:rPr>
        <w:rFonts w:ascii="Arial" w:hAnsi="Arial"/>
        <w:sz w:val="16"/>
      </w:rPr>
      <w:t>Schloßstraße 18, 60486 Frankfurt am Main | Telefon 069 718 44-0 | Verlag MedForum GmbH</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6D3C52"/>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6D3C52"/>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6D3C52"/>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Honorar- und Beitragsaufstellung Dr. Elena Neumann</dc:title>
  <dc:subject/>
  <dc:creator>Kinderpraxis aktuell · Redaktion</dc:creator>
  <cp:keywords/>
  <dc:description>generated by python-docx</dc:description>
  <cp:lastModifiedBy/>
  <cp:revision>1</cp:revision>
  <dcterms:created xsi:type="dcterms:W3CDTF">2013-12-23T23:15:00Z</dcterms:created>
  <dcterms:modified xsi:type="dcterms:W3CDTF">2013-12-23T23:15:00Z</dcterms:modified>
  <cp:category/>
</cp:coreProperties>
</file>