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ANWALTSSCHREIBEN</w:t>
      </w:r>
    </w:p>
    <w:p>
      <w:pPr>
        <w:spacing w:after="100"/>
      </w:pPr>
      <w:r>
        <w:rPr>
          <w:rFonts w:ascii="Arial" w:hAnsi="Arial" w:eastAsia="Arial"/>
          <w:b w:val="0"/>
          <w:color w:val="5C6569"/>
          <w:sz w:val="14"/>
        </w:rPr>
        <w:t>Lehnert und Volkmann Rechtsanwälte · Kaiserstraße 81 · 61169 Friedberg (Hessen)</w:t>
      </w:r>
    </w:p>
    <w:p>
      <w:pPr>
        <w:spacing w:after="0"/>
      </w:pPr>
      <w:r>
        <w:rPr>
          <w:rFonts w:ascii="Arial" w:hAnsi="Arial" w:eastAsia="Arial"/>
          <w:b w:val="0"/>
          <w:sz w:val="18"/>
        </w:rPr>
        <w:t>Rechtsanwältin Katharina Feldmann</w:t>
      </w:r>
    </w:p>
    <w:p>
      <w:pPr>
        <w:spacing w:after="0"/>
      </w:pPr>
      <w:r>
        <w:rPr>
          <w:rFonts w:ascii="Arial" w:hAnsi="Arial" w:eastAsia="Arial"/>
          <w:b w:val="0"/>
          <w:sz w:val="18"/>
        </w:rPr>
        <w:t>Parkstraße 22</w:t>
      </w:r>
    </w:p>
    <w:p>
      <w:pPr>
        <w:spacing w:after="0"/>
      </w:pPr>
      <w:r>
        <w:rPr>
          <w:rFonts w:ascii="Arial" w:hAnsi="Arial" w:eastAsia="Arial"/>
          <w:b w:val="0"/>
          <w:sz w:val="18"/>
        </w:rPr>
        <w:t>61231 Bad Nauheim</w:t>
      </w:r>
    </w:p>
    <w:p>
      <w:pPr>
        <w:spacing w:after="0"/>
      </w:pPr>
      <w:r>
        <w:rPr>
          <w:rFonts w:ascii="Arial" w:hAnsi="Arial" w:eastAsia="Arial"/>
          <w:b w:val="0"/>
          <w:sz w:val="18"/>
        </w:rPr>
        <w:t>vorab per besonderem elektronischen Anwaltspostfach</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10.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226/26-L / Ihr Zeichen 87/26 F</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Oliver Lehnert</w:t>
            </w:r>
          </w:p>
        </w:tc>
      </w:tr>
    </w:tbl>
    <w:p/>
    <w:p>
      <w:pPr>
        <w:pStyle w:val="Title"/>
      </w:pPr>
      <w:r>
        <w:rPr>
          <w:rFonts w:ascii="Arial" w:hAnsi="Arial" w:eastAsia="Arial"/>
          <w:b/>
          <w:color w:val="173941"/>
          <w:sz w:val="34"/>
        </w:rPr>
        <w:t>Dr. Elena Neumann gegen Martin Neumann: Auskunft über Einkommen und Vermögen</w:t>
      </w:r>
    </w:p>
    <w:p>
      <w:pPr>
        <w:jc w:val="both"/>
      </w:pPr>
      <w:r>
        <w:rPr>
          <w:rFonts w:ascii="Arial" w:hAnsi="Arial" w:eastAsia="Arial"/>
          <w:b w:val="0"/>
          <w:sz w:val="21"/>
        </w:rPr>
        <w:t>Sehr geehrte Frau Kollegin Feldmann,</w:t>
      </w:r>
    </w:p>
    <w:p>
      <w:pPr>
        <w:pStyle w:val="Heading1"/>
      </w:pPr>
      <w:r>
        <w:t>1. Unterlagenübersendung</w:t>
      </w:r>
    </w:p>
    <w:p>
      <w:pPr>
        <w:jc w:val="both"/>
      </w:pPr>
      <w:r>
        <w:rPr>
          <w:rFonts w:ascii="Arial" w:hAnsi="Arial" w:eastAsia="Arial"/>
          <w:b w:val="0"/>
          <w:sz w:val="21"/>
        </w:rPr>
        <w:t>In vorbezeichneter Angelegenheit zeige ich die Vertretung von Herrn Martin Neumann an. Die ordnungsgemäße Bevollmächtigung wird anwaltlich versichert. Zu Ihrem Schreiben vom 27. Mai 2026 übersende ich vorläufig die Gehaltsabrechnungen Januar bis März 2026, den Ausdruck der elektronischen Aprilabrechnung, eine Übersicht zu den Immobilienfinanzierungen und die von meinem Mandanten zusammengestellte Kostenliste seines Ingenieurbüros.</w:t>
      </w:r>
    </w:p>
    <w:p>
      <w:pPr>
        <w:pStyle w:val="Heading1"/>
      </w:pPr>
      <w:r>
        <w:t>2. Weitere Einkommensunterlagen</w:t>
      </w:r>
    </w:p>
    <w:p>
      <w:pPr>
        <w:jc w:val="both"/>
      </w:pPr>
      <w:r>
        <w:rPr>
          <w:rFonts w:ascii="Arial" w:hAnsi="Arial" w:eastAsia="Arial"/>
          <w:b w:val="0"/>
          <w:sz w:val="21"/>
        </w:rPr>
        <w:t>Die Gehaltsabrechnungen Mai und Juni 2026 sowie die Bonusmitteilung für 2025 will mein Mandant nach seiner Rückkehr am 22. Juni beschaffen. Die Einkommensteuererklärung 2025 ist nach Auskunft des Steuerberaters noch nicht erstellt. Zu den Jahren 2023 und 2024 liegen Bescheide vor; Kopien sind angekündigt, aber bislang nicht bei mir eingegangen.</w:t>
      </w:r>
    </w:p>
    <w:p>
      <w:pPr>
        <w:jc w:val="both"/>
      </w:pPr>
      <w:r>
        <w:rPr>
          <w:rFonts w:ascii="Arial" w:hAnsi="Arial" w:eastAsia="Arial"/>
          <w:b w:val="0"/>
          <w:sz w:val="21"/>
        </w:rPr>
        <w:t>Für MN Strömungstechnik befinden sich Einnahmen-Überschuss-Rechnungen beim Steuerberater. Mein Mandant hält die von Ihrer Mandantin genannten Rechnungsbeträge nicht für Gewinn, da Software, Leasing und Fremdleistungen abzuziehen seien. Eine geordnete Debitorenliste und Kontoauszüge des Geschäftskontos wurden noch nicht übergeben.</w:t>
      </w:r>
    </w:p>
    <w:p>
      <w:pPr>
        <w:pStyle w:val="Heading1"/>
      </w:pPr>
      <w:r>
        <w:t>3. Haus und laufende Zahlungen</w:t>
      </w:r>
    </w:p>
    <w:p>
      <w:pPr>
        <w:jc w:val="both"/>
      </w:pPr>
      <w:r>
        <w:rPr>
          <w:rFonts w:ascii="Arial" w:hAnsi="Arial" w:eastAsia="Arial"/>
          <w:b w:val="0"/>
          <w:sz w:val="21"/>
        </w:rPr>
        <w:t>Unser Mandant zahlt monatlich 640,00 EUR auf das gemeinsame Darlehenskonto sowie seit April jeweils 1250,00 EUR mit dem Verwendungszweck Kinder. Er behält sich vor, ab Juli eine Nutzungsregelung für das im hälftigen Miteigentum stehende Haus zu verlangen. Eine Verrechnung mit Kindesunterhalt wird mit diesem Schreiben nicht erklärt.</w:t>
      </w:r>
    </w:p>
    <w:p>
      <w:pPr>
        <w:pStyle w:val="Heading1"/>
      </w:pPr>
      <w:r>
        <w:t>4. Vermögensangaben</w:t>
      </w:r>
    </w:p>
    <w:p>
      <w:pPr>
        <w:jc w:val="both"/>
      </w:pPr>
      <w:r>
        <w:rPr>
          <w:rFonts w:ascii="Arial" w:hAnsi="Arial" w:eastAsia="Arial"/>
          <w:b w:val="0"/>
          <w:sz w:val="21"/>
        </w:rPr>
        <w:t>Zum TradePort-Depot bestätigt mein Mandant einen Verkauf von Fondsanteilen am 6. Juni 2026. Der Gegenwert sei auf ein Tagesgeldkonto übertragen und teilweise für Einkommensteuer sowie betriebliche Liquidität vorgesehen. Depotumsatzliste, Zielkonto und aktueller Bestand sind noch nicht beigefügt. Zum Grundstück in Ober-Mörlen liegt lediglich ein Grundbuchauszug aus 2022 vor. Ein Verkehrswertgutachten existiert nach Angabe meines Mandanten nicht.</w:t>
      </w:r>
    </w:p>
    <w:p>
      <w:pPr>
        <w:pStyle w:val="Heading1"/>
      </w:pPr>
      <w:r>
        <w:t>5. Weiterer Ablauf</w:t>
      </w:r>
    </w:p>
    <w:p>
      <w:pPr>
        <w:jc w:val="both"/>
      </w:pPr>
      <w:r>
        <w:rPr>
          <w:rFonts w:ascii="Arial" w:hAnsi="Arial" w:eastAsia="Arial"/>
          <w:b w:val="0"/>
          <w:sz w:val="21"/>
        </w:rPr>
        <w:t>Ich werde die fehlenden Unterlagen nach Eingang geordnet nachreichen. Eine abschließende Erklärung zur Höhe von Kindes- oder Trennungsunterhalt ist damit nicht verbunden. Bitte richten Sie Rückfragen an meine Kanzlei und nicht unmittelbar an meinen Mandanten. Die Kommunikation zu den Kindern soll von der vermögensrechtlichen Korrespondenz getrennt bleiben.</w:t>
      </w:r>
    </w:p>
    <w:p>
      <w:pPr>
        <w:pStyle w:val="Heading1"/>
      </w:pPr>
      <w:r>
        <w:t>6. Anlagen</w:t>
      </w:r>
    </w:p>
    <w:p>
      <w:pPr>
        <w:jc w:val="both"/>
      </w:pPr>
      <w:r>
        <w:rPr>
          <w:rFonts w:ascii="Arial" w:hAnsi="Arial" w:eastAsia="Arial"/>
          <w:b w:val="0"/>
          <w:sz w:val="21"/>
        </w:rPr>
        <w:t>A1 Gehaltsabrechnungen Januar bis März 2026; A2 Ausdruck Aprilabrechnung; A3 private Darlehensübersicht Stand 31. Mai 2026; A4 Kostenliste MN Strömungstechnik ohne Belege.</w:t>
      </w:r>
    </w:p>
    <w:p>
      <w:pPr>
        <w:jc w:val="both"/>
      </w:pPr>
      <w:r>
        <w:rPr>
          <w:rFonts w:ascii="Arial" w:hAnsi="Arial" w:eastAsia="Arial"/>
          <w:b w:val="0"/>
          <w:sz w:val="21"/>
        </w:rPr>
        <w:t>Mit kollegialen Grüßen</w:t>
      </w:r>
    </w:p>
    <w:p>
      <w:pPr>
        <w:spacing w:before="280"/>
      </w:pPr>
      <w:r>
        <w:rPr>
          <w:rFonts w:ascii="Arial" w:hAnsi="Arial" w:eastAsia="Arial"/>
          <w:b/>
          <w:sz w:val="21"/>
        </w:rPr>
        <w:t>Dr. Oliver Lehnert</w:t>
      </w:r>
    </w:p>
    <w:p>
      <w:pPr>
        <w:spacing w:after="0"/>
      </w:pPr>
      <w:r>
        <w:rPr>
          <w:rFonts w:ascii="Arial" w:hAnsi="Arial" w:eastAsia="Arial"/>
          <w:b w:val="0"/>
          <w:color w:val="5C6569"/>
          <w:sz w:val="18"/>
        </w:rPr>
        <w:t>Rechtsanwalt · Fachanwalt für Familienrecht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226/26-L · Neumann / Dr. Neumann</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Lehnert und Volkmann Rechtsanwälte</w:t>
    </w:r>
  </w:p>
  <w:p>
    <w:pPr>
      <w:spacing w:after="0"/>
    </w:pPr>
    <w:r>
      <w:rPr>
        <w:rFonts w:ascii="Arial" w:hAnsi="Arial" w:eastAsia="Arial"/>
        <w:b w:val="0"/>
        <w:color w:val="5C6569"/>
        <w:sz w:val="14"/>
      </w:rPr>
      <w:t>Kaiserstraße 81 · 61169 Friedberg (Hessen)</w:t>
    </w:r>
  </w:p>
  <w:p>
    <w:pPr>
      <w:spacing w:after="0"/>
    </w:pPr>
    <w:r>
      <w:rPr>
        <w:rFonts w:ascii="Arial" w:hAnsi="Arial" w:eastAsia="Arial"/>
        <w:b w:val="0"/>
        <w:color w:val="5C6569"/>
        <w:sz w:val="14"/>
      </w:rPr>
      <w:t>Telefon 06031 62118-0 · Telefax 06031 62118-19 · post@lehnert-volkmann.example</w:t>
    </w:r>
  </w:p>
  <w:p>
    <w:pPr>
      <w:spacing w:after="0"/>
    </w:pPr>
    <w:r>
      <w:rPr>
        <w:rFonts w:ascii="Arial" w:hAnsi="Arial" w:eastAsia="Arial"/>
        <w:b w:val="0"/>
        <w:color w:val="5C6569"/>
        <w:sz w:val="14"/>
      </w:rPr>
      <w:t>Rechtsanwalt Dr. Oliver Lehnert · Fachanwalt für Familienrecht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Elena Neumann gegen Martin Neumann: Auskunft über Einkommen und Vermögen</dc:title>
  <dc:subject>226/26-L / Ihr Zeichen 87/26 F</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