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MANDANTENANSCHREIBEN</w:t>
      </w:r>
    </w:p>
    <w:p>
      <w:pPr>
        <w:spacing w:after="100"/>
      </w:pPr>
      <w:r>
        <w:rPr>
          <w:rFonts w:ascii="Arial" w:hAnsi="Arial" w:eastAsia="Arial"/>
          <w:b w:val="0"/>
          <w:color w:val="5C6569"/>
          <w:sz w:val="14"/>
        </w:rPr>
        <w:t>Rechtsanwältin Katharina Feldmann · Parkstraße 22 · 61231 Bad Nauheim</w:t>
      </w:r>
    </w:p>
    <w:p>
      <w:pPr>
        <w:spacing w:after="0"/>
      </w:pPr>
      <w:r>
        <w:rPr>
          <w:rFonts w:ascii="Arial" w:hAnsi="Arial" w:eastAsia="Arial"/>
          <w:b w:val="0"/>
          <w:sz w:val="18"/>
        </w:rPr>
        <w:t>Frau Dr. Elena Neumann</w:t>
      </w:r>
    </w:p>
    <w:p>
      <w:pPr>
        <w:spacing w:after="0"/>
      </w:pPr>
      <w:r>
        <w:rPr>
          <w:rFonts w:ascii="Arial" w:hAnsi="Arial" w:eastAsia="Arial"/>
          <w:b w:val="0"/>
          <w:sz w:val="18"/>
        </w:rPr>
        <w:t>Hainerweg 18</w:t>
      </w:r>
    </w:p>
    <w:p>
      <w:pPr>
        <w:spacing w:after="0"/>
      </w:pPr>
      <w:r>
        <w:rPr>
          <w:rFonts w:ascii="Arial" w:hAnsi="Arial" w:eastAsia="Arial"/>
          <w:b w:val="0"/>
          <w:sz w:val="18"/>
        </w:rPr>
        <w:t>61231 Bad Nauheim</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30.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87/26 F / kf-hk</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Katharina Feldmann</w:t>
            </w:r>
          </w:p>
        </w:tc>
      </w:tr>
    </w:tbl>
    <w:p/>
    <w:p>
      <w:pPr>
        <w:pStyle w:val="Title"/>
      </w:pPr>
      <w:r>
        <w:rPr>
          <w:rFonts w:ascii="Arial" w:hAnsi="Arial" w:eastAsia="Arial"/>
          <w:b/>
          <w:color w:val="173941"/>
          <w:sz w:val="34"/>
        </w:rPr>
        <w:t>Unterlagenstand zu Unterhalt, Haus und Zugewinn</w:t>
      </w:r>
    </w:p>
    <w:p>
      <w:pPr>
        <w:jc w:val="both"/>
      </w:pPr>
      <w:r>
        <w:rPr>
          <w:rFonts w:ascii="Arial" w:hAnsi="Arial" w:eastAsia="Arial"/>
          <w:b w:val="0"/>
          <w:sz w:val="21"/>
        </w:rPr>
        <w:t>Sehr geehrte Frau Dr. Neumann,</w:t>
      </w:r>
    </w:p>
    <w:p>
      <w:pPr>
        <w:pStyle w:val="Heading1"/>
      </w:pPr>
      <w:r>
        <w:t>1. Was inzwischen vorliegt</w:t>
      </w:r>
    </w:p>
    <w:p>
      <w:pPr>
        <w:jc w:val="both"/>
      </w:pPr>
      <w:r>
        <w:rPr>
          <w:rFonts w:ascii="Arial" w:hAnsi="Arial" w:eastAsia="Arial"/>
          <w:b w:val="0"/>
          <w:sz w:val="21"/>
        </w:rPr>
        <w:t>Wir haben Ihre Gehaltsabrechnungen Januar bis Mai 2026, die Betreuungsübersicht, die Kontoauszüge des Hauskontos, die Kinderkostenbelege, den Depotauszug 2025, die Bonusmitteilung und die Rechnung zur Lerntherapie geordnet. Die Gegenseite hat bislang nur drei vollständige Gehaltsabrechnungen, einen April-Ausdruck, eine private Darlehensübersicht und eine unbelegte Kostenliste des Ingenieurbüros vorgelegt.</w:t>
      </w:r>
    </w:p>
    <w:p>
      <w:pPr>
        <w:pStyle w:val="Heading1"/>
      </w:pPr>
      <w:r>
        <w:t>2. Was von Herrn Neumann noch fehlt</w:t>
      </w:r>
    </w:p>
    <w:p>
      <w:pPr>
        <w:jc w:val="both"/>
      </w:pPr>
      <w:r>
        <w:rPr>
          <w:rFonts w:ascii="Arial" w:hAnsi="Arial" w:eastAsia="Arial"/>
          <w:b w:val="0"/>
          <w:sz w:val="21"/>
        </w:rPr>
        <w:t>Benötigt werden insbesondere die Gehaltsabrechnungen April bis Juni im Originalformat, Bonusabrechnung, Steuerbescheide 2023 und 2024, Steuererklärung 2025 nach Fertigstellung, Einnahmen-Überschuss-Rechnungen und Geschäftskontoauszüge, Depotumsätze einschließlich Verkauf vom 6. Juni, aktueller Lebensversicherungswert, Leasingvertrag der CNC-Fräse und Unterlagen zum Grundstück Ober-Mörlen.</w:t>
      </w:r>
    </w:p>
    <w:p>
      <w:pPr>
        <w:pStyle w:val="Heading1"/>
      </w:pPr>
      <w:r>
        <w:t>3. Ihre Unterlagen</w:t>
      </w:r>
    </w:p>
    <w:p>
      <w:pPr>
        <w:jc w:val="both"/>
      </w:pPr>
      <w:r>
        <w:rPr>
          <w:rFonts w:ascii="Arial" w:hAnsi="Arial" w:eastAsia="Arial"/>
          <w:b w:val="0"/>
          <w:sz w:val="21"/>
        </w:rPr>
        <w:t>Bitte reichen Sie bis 6. Juli die vollständigen Honorarabrechnungen der Zeitschrift, den Kontoauszug zur Schenkung Ihrer Tante aus 2018, den damaligen Sondertilgungsbeleg sowie aktuelle Salden der Hausdarlehen ein. Für Paula benötigen wir nach Beginn der Lerntherapie Teilnahme- und Zahlungsnachweise; für Jakob den kieferorthopädischen Behandlungsplan und für Clara die endgültige Brillenrechnung.</w:t>
      </w:r>
    </w:p>
    <w:p>
      <w:pPr>
        <w:pStyle w:val="Heading1"/>
      </w:pPr>
      <w:r>
        <w:t>4. Kinder und Kommunikation</w:t>
      </w:r>
    </w:p>
    <w:p>
      <w:pPr>
        <w:jc w:val="both"/>
      </w:pPr>
      <w:r>
        <w:rPr>
          <w:rFonts w:ascii="Arial" w:hAnsi="Arial" w:eastAsia="Arial"/>
          <w:b w:val="0"/>
          <w:sz w:val="21"/>
        </w:rPr>
        <w:t>Die Vermögens- und Unterhaltskorrespondenz führen wir ausschließlich mit dem gegnerischen Anwalt. Absprachen zu Abholung, Schule und Gesundheit bleiben im Elternkanal und werden nicht mit Zahlungen verknüpft. Falls Herr Neumann eine Zahlung aussetzt oder eine kurzfristige Betreuungsänderung verlangt, senden Sie uns die Nachricht mit Datum, ohne sie für das Verfahren zu kommentieren.</w:t>
      </w:r>
    </w:p>
    <w:p>
      <w:pPr>
        <w:pStyle w:val="Heading1"/>
      </w:pPr>
      <w:r>
        <w:t>5. Weiterer Ablauf</w:t>
      </w:r>
    </w:p>
    <w:p>
      <w:pPr>
        <w:jc w:val="both"/>
      </w:pPr>
      <w:r>
        <w:rPr>
          <w:rFonts w:ascii="Arial" w:hAnsi="Arial" w:eastAsia="Arial"/>
          <w:b w:val="0"/>
          <w:sz w:val="21"/>
        </w:rPr>
        <w:t>Wir setzen eine kurze Ergänzungsfrist und bereiten parallel die Unterhaltsberechnung aus gesicherten Daten vor. Dabei werden Kindesunterhalt, Mehrbedarf, Trennungsunterhalt, Hauslasten und Zugewinn getrennt ausgewiesen. Nach Fristablauf entscheiden wir mit Ihnen, welche Auskunft gerichtlich verfolgt und welche Position zunächst außergerichtlich beziffert wird.</w:t>
      </w:r>
    </w:p>
    <w:p>
      <w:pPr>
        <w:jc w:val="both"/>
      </w:pPr>
      <w:r>
        <w:rPr>
          <w:rFonts w:ascii="Arial" w:hAnsi="Arial" w:eastAsia="Arial"/>
          <w:b w:val="0"/>
          <w:sz w:val="21"/>
        </w:rPr>
        <w:t>Bitte melden Sie sich bei dringenden Kinderangelegenheiten telefonisch über das Sekretariat; für Unterlagen genügt die sichere Nachrichtenfunktion der Kanzlei.</w:t>
      </w:r>
    </w:p>
    <w:p>
      <w:pPr>
        <w:spacing w:before="280"/>
      </w:pPr>
      <w:r>
        <w:rPr>
          <w:rFonts w:ascii="Arial" w:hAnsi="Arial" w:eastAsia="Arial"/>
          <w:b/>
          <w:sz w:val="21"/>
        </w:rPr>
        <w:t>Katharina Feldmann</w:t>
      </w:r>
    </w:p>
    <w:p>
      <w:pPr>
        <w:spacing w:after="0"/>
      </w:pPr>
      <w:r>
        <w:rPr>
          <w:rFonts w:ascii="Arial" w:hAnsi="Arial" w:eastAsia="Arial"/>
          <w:b w:val="0"/>
          <w:color w:val="5C6569"/>
          <w:sz w:val="18"/>
        </w:rPr>
        <w:t>Rechtsanwältin · Fachanwältin für Familienrecht</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Mandat 87/26 F · Dr. Neumann / Neumann</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Rechtsanwältin Katharina Feldmann</w:t>
    </w:r>
  </w:p>
  <w:p>
    <w:pPr>
      <w:spacing w:after="0"/>
    </w:pPr>
    <w:r>
      <w:rPr>
        <w:rFonts w:ascii="Arial" w:hAnsi="Arial" w:eastAsia="Arial"/>
        <w:b w:val="0"/>
        <w:color w:val="5C6569"/>
        <w:sz w:val="14"/>
      </w:rPr>
      <w:t>Parkstraße 22 · 61231 Bad Nauheim</w:t>
    </w:r>
  </w:p>
  <w:p>
    <w:pPr>
      <w:spacing w:after="0"/>
    </w:pPr>
    <w:r>
      <w:rPr>
        <w:rFonts w:ascii="Arial" w:hAnsi="Arial" w:eastAsia="Arial"/>
        <w:b w:val="0"/>
        <w:color w:val="5C6569"/>
        <w:sz w:val="14"/>
      </w:rPr>
      <w:t>Telefon 06032 92440 · Telefax 06032 92441 · kanzlei@feldmann-familienrecht.example</w:t>
    </w:r>
  </w:p>
  <w:p>
    <w:pPr>
      <w:spacing w:after="0"/>
    </w:pPr>
    <w:r>
      <w:rPr>
        <w:rFonts w:ascii="Arial" w:hAnsi="Arial" w:eastAsia="Arial"/>
        <w:b w:val="0"/>
        <w:color w:val="5C6569"/>
        <w:sz w:val="14"/>
      </w:rPr>
      <w:t>Rechtsanwältin Katharina Feldmann · Fachanwältin für Familienrecht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Unterlagenstand zu Unterhalt, Haus und Zugewinn</dc:title>
  <dc:subject>87/26 F / kf-hk</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