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Steinhauer und Vonau — Rechtsanwälte</w:t>
      </w:r>
    </w:p>
    <w:p>
      <w:pPr>
        <w:jc w:val="left"/>
      </w:pPr>
      <w:r>
        <w:t>RA Benedikt Steinhauer, Oranienstr. 14, 10999 Berlin</w:t>
      </w:r>
    </w:p>
    <w:p>
      <w:pPr>
        <w:jc w:val="left"/>
      </w:pPr>
      <w:r>
        <w:t>Gesprächsvermerk — Aktenstück zur Mandatsakte Weber ./. TechLogix GmbH</w:t>
      </w:r>
    </w:p>
    <w:p>
      <w:pPr>
        <w:jc w:val="left"/>
      </w:pPr>
      <w:r>
        <w:t>Aktenzeichen ArbG Berlin: 28 Ca 7314/26</w:t>
      </w:r>
    </w:p>
    <w:p>
      <w:pPr>
        <w:jc w:val="left"/>
      </w:pPr>
      <w:r>
        <w:t>Datum des Gesprächs: 07.05.2026, 15:20 Uhr, Telefonat</w:t>
      </w:r>
    </w:p>
    <w:p>
      <w:pPr>
        <w:pStyle w:val="ListNumber"/>
      </w:pPr>
      <w:r>
        <w:t>Gesprächspartner</w:t>
      </w:r>
    </w:p>
    <w:p>
      <w:pPr>
        <w:jc w:val="left"/>
      </w:pPr>
      <w:r>
        <w:t>Torsten Hähnel, Betriebsratsvorsitzender der TechLogix GmbH, angerufen mit dessen Einverständnis; RA Benedikt Steinhauer. Herr Hähnel hat der Aufnahme des Inhalts in die Akte zugestimmt und eine schriftliche Bestätigung in Aussicht gestellt.</w:t>
      </w:r>
    </w:p>
    <w:p>
      <w:pPr>
        <w:pStyle w:val="ListNumber"/>
      </w:pPr>
      <w:r>
        <w:t>Anlass</w:t>
      </w:r>
    </w:p>
    <w:p>
      <w:pPr>
        <w:jc w:val="left"/>
      </w:pPr>
      <w:r>
        <w:t>Klärung des Ablaufs der Betriebsratsanhörung nach Paragraf 102 BetrVG zur betriebsbedingten Kündigung des Mandanten vom 28.04.2026, zugegangen am 30.04.2026.</w:t>
      </w:r>
    </w:p>
    <w:p>
      <w:pPr>
        <w:pStyle w:val="ListNumber"/>
      </w:pPr>
      <w:r>
        <w:t>Wesentlicher Inhalt</w:t>
      </w:r>
    </w:p>
    <w:p>
      <w:pPr>
        <w:jc w:val="left"/>
      </w:pPr>
      <w:r>
        <w:t>3.1 Herr Hähnel gab an, das Anhörungsschreiben habe den Betriebsrat erst am 24.04.2026 erreicht. Ein Ausstellungsdatum trage das Schreiben nicht.</w:t>
      </w:r>
    </w:p>
    <w:p>
      <w:pPr>
        <w:jc w:val="left"/>
      </w:pPr>
      <w:r>
        <w:t>3.2 Das Schreiben sei unvollständig gewesen. Es habe nur die erste Seite vorgelegen; die zweite Seite mit den Angaben zur Sozialauswahl habe gefehlt. Der Betriebsrat habe deshalb die Auswahl zwischen dem Mandanten und den Kollegen Grunewald und Sonnleitner nicht nachvollziehen können.</w:t>
      </w:r>
    </w:p>
    <w:p>
      <w:pPr>
        <w:jc w:val="left"/>
      </w:pPr>
      <w:r>
        <w:t>3.3 Der Betriebsrat habe seine Beratung nicht abgeschlossen gehabt, als die Kündigung bereits ausgesprochen wurde. Einen Widerspruch habe der Betriebsrat nicht mehr förmlich beschlossen; Herr Hähnel habe die Bedenken jedoch mit E-Mail vom 28.04.2026 an die Geschäftsführerin Kreutzfeldt festgehalten.</w:t>
      </w:r>
    </w:p>
    <w:p>
      <w:pPr>
        <w:pStyle w:val="ListNumber"/>
      </w:pPr>
      <w:r>
        <w:t>Rechtliche Einordnung</w:t>
      </w:r>
    </w:p>
    <w:p>
      <w:pPr>
        <w:jc w:val="left"/>
      </w:pPr>
      <w:r>
        <w:t>4.1 Nach Paragraf 102 Abs. 1 Satz 3 BetrVG ist eine ohne ordnungsgemäße Anhörung ausgesprochene Kündigung unwirksam. Eine unvollständige Unterrichtung über die Sozialauswahl kann die Anhörung fehlerhaft machen, wenn dem Betriebsrat dadurch die für seine Stellungnahme wesentlichen Gründe vorenthalten werden.</w:t>
      </w:r>
    </w:p>
    <w:p>
      <w:pPr>
        <w:jc w:val="left"/>
      </w:pPr>
      <w:r>
        <w:t>4.2 Die fehlende zweite Seite betrifft gerade die Sozialauswahl, die im vorliegenden Fall den zentralen Angriffspunkt bildet. Der Mandant erreicht nach der internen Sozialpunktematrix fünfzehn Punkte, der weiterbeschäftigte Kollege Grunewald lediglich zwei Punkte.</w:t>
      </w:r>
    </w:p>
    <w:p>
      <w:pPr>
        <w:jc w:val="left"/>
      </w:pPr>
      <w:r>
        <w:t>4.3 Der Vortrag der Beklagten, der Betriebsrat sei ordnungsgemäß angehört worden, steht damit im Widerspruch zur dokumentierten Aktenlage (verspäteter Zugang, fehlende Seite, nicht abgelaufene Frist).</w:t>
      </w:r>
    </w:p>
    <w:p>
      <w:pPr>
        <w:pStyle w:val="ListNumber"/>
      </w:pPr>
      <w:r>
        <w:t>Veranlasste Schritte</w:t>
      </w:r>
    </w:p>
    <w:p>
      <w:pPr>
        <w:jc w:val="left"/>
      </w:pPr>
      <w:r>
        <w:t>5.1 Herrn Hähnel um schriftliche Bestätigung des Zugangsdatums 24.04.2026 und des Fehlens der zweiten Seite gebeten.</w:t>
      </w:r>
    </w:p>
    <w:p>
      <w:pPr>
        <w:jc w:val="left"/>
      </w:pPr>
      <w:r>
        <w:t>5.2 Den Formfehler nach Paragraf 102 BetrVG als eigenständigen Unwirksamkeitsgrund in die Klagebegründung aufnehmen.</w:t>
      </w:r>
    </w:p>
    <w:p>
      <w:pPr>
        <w:jc w:val="left"/>
      </w:pPr>
      <w:r>
        <w:t>5.3 Herrn Grunewald als Zeugen zur Zusage der Weiterbeschäftigung benennen.</w:t>
      </w:r>
    </w:p>
    <w:p>
      <w:pPr>
        <w:jc w:val="left"/>
      </w:pPr>
      <w:r>
        <w:t>RA Benedikt Steinhauer, Steinhauer und Vonau, Berlin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