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Handnotiz des Mandanten — Gespräch mit GF Kreutzfeldt</w:t>
      </w:r>
    </w:p>
    <w:p>
      <w:pPr>
        <w:ind w:left="567"/>
      </w:pPr>
      <w:r>
        <w:rPr>
          <w:b/>
          <w:i/>
        </w:rPr>
        <w:t>Dokument:</w:t>
      </w:r>
      <w:r>
        <w:rPr>
          <w:i/>
        </w:rPr>
        <w:t xml:space="preserve"> Handschriftliche Aufzeichnung Marcus Weber</w:t>
      </w:r>
    </w:p>
    <w:p>
      <w:pPr>
        <w:ind w:left="567"/>
      </w:pPr>
      <w:r>
        <w:rPr>
          <w:b/>
          <w:i/>
        </w:rPr>
        <w:t>Erstellt:</w:t>
      </w:r>
      <w:r>
        <w:rPr>
          <w:i/>
        </w:rPr>
        <w:t xml:space="preserve"> 25. März 2026 (Abend des Gesprächstags)</w:t>
      </w:r>
    </w:p>
    <w:p>
      <w:pPr>
        <w:ind w:left="567"/>
      </w:pPr>
      <w:r>
        <w:rPr>
          <w:b/>
          <w:i/>
        </w:rPr>
        <w:t>Übertragen:</w:t>
      </w:r>
      <w:r>
        <w:rPr>
          <w:i/>
        </w:rPr>
        <w:t xml:space="preserve"> Abschrift für Kanzleiakte, unverändert</w:t>
      </w:r>
    </w:p>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Datum Gespräch</w:t>
            </w:r>
          </w:p>
        </w:tc>
        <w:tc>
          <w:tcPr>
            <w:tcW w:type="dxa" w:w="4536"/>
          </w:tcPr>
          <w:p>
            <w:r>
              <w:rPr>
                <w:rFonts w:ascii="Times New Roman" w:hAnsi="Times New Roman"/>
                <w:sz w:val="20"/>
              </w:rPr>
              <w:t>ca. 25.03.2026, ca. 11:00 Uhr</w:t>
            </w:r>
          </w:p>
        </w:tc>
      </w:tr>
      <w:tr>
        <w:tc>
          <w:tcPr>
            <w:tcW w:type="dxa" w:w="4536"/>
          </w:tcPr>
          <w:p>
            <w:r>
              <w:rPr>
                <w:rFonts w:ascii="Times New Roman" w:hAnsi="Times New Roman"/>
                <w:b/>
                <w:sz w:val="20"/>
              </w:rPr>
              <w:t>Ort</w:t>
            </w:r>
          </w:p>
        </w:tc>
        <w:tc>
          <w:tcPr>
            <w:tcW w:type="dxa" w:w="4536"/>
          </w:tcPr>
          <w:p>
            <w:r>
              <w:rPr>
                <w:rFonts w:ascii="Times New Roman" w:hAnsi="Times New Roman"/>
                <w:sz w:val="20"/>
              </w:rPr>
              <w:t>Büro Anja Kreutzfeldt, TechLogix GmbH, Tempelhofer Damm 18</w:t>
            </w:r>
          </w:p>
        </w:tc>
      </w:tr>
      <w:tr>
        <w:tc>
          <w:tcPr>
            <w:tcW w:type="dxa" w:w="4536"/>
          </w:tcPr>
          <w:p>
            <w:r>
              <w:rPr>
                <w:rFonts w:ascii="Times New Roman" w:hAnsi="Times New Roman"/>
                <w:b/>
                <w:sz w:val="20"/>
              </w:rPr>
              <w:t>Anwesende</w:t>
            </w:r>
          </w:p>
        </w:tc>
        <w:tc>
          <w:tcPr>
            <w:tcW w:type="dxa" w:w="4536"/>
          </w:tcPr>
          <w:p>
            <w:r>
              <w:rPr>
                <w:rFonts w:ascii="Times New Roman" w:hAnsi="Times New Roman"/>
                <w:sz w:val="20"/>
              </w:rPr>
              <w:t>Marcus Weber, Anja Kreutzfeldt</w:t>
            </w:r>
          </w:p>
        </w:tc>
      </w:tr>
      <w:tr>
        <w:tc>
          <w:tcPr>
            <w:tcW w:type="dxa" w:w="4536"/>
          </w:tcPr>
          <w:p>
            <w:r>
              <w:rPr>
                <w:rFonts w:ascii="Times New Roman" w:hAnsi="Times New Roman"/>
                <w:b/>
                <w:sz w:val="20"/>
              </w:rPr>
              <w:t>Anlass</w:t>
            </w:r>
          </w:p>
        </w:tc>
        <w:tc>
          <w:tcPr>
            <w:tcW w:type="dxa" w:w="4536"/>
          </w:tcPr>
          <w:p>
            <w:r>
              <w:rPr>
                <w:rFonts w:ascii="Times New Roman" w:hAnsi="Times New Roman"/>
                <w:sz w:val="20"/>
              </w:rPr>
              <w:t>Spontaner Einberuf ohne Termin</w:t>
            </w:r>
          </w:p>
        </w:tc>
      </w:tr>
    </w:tbl>
    <w:p/>
    <w:p>
      <w:pPr>
        <w:pStyle w:val="Heading2"/>
      </w:pPr>
      <w:r>
        <w:rPr>
          <w:rFonts w:ascii="Times New Roman" w:hAnsi="Times New Roman"/>
        </w:rPr>
        <w:t>Notiz (Abschrift, eigene Worte des Mandanten)</w:t>
      </w:r>
    </w:p>
    <w:p>
      <w:pPr>
        <w:jc w:val="left"/>
      </w:pPr>
      <w:r>
        <w:t>Meine Notiz vom Gespräch mit Frau Kreutzfeldt — ca. 25. März 2026, ihr Büro, ca. 11 Uhr.</w:t>
      </w:r>
    </w:p>
    <w:p>
      <w:pPr>
        <w:jc w:val="left"/>
      </w:pPr>
      <w:r>
        <w:t>Sie hat mich reingebeten ohne Termin. Ich saß ihr gegenüber, Tür war zu.</w:t>
      </w:r>
    </w:p>
    <w:p>
      <w:pPr>
        <w:jc w:val="left"/>
      </w:pPr>
      <w:r>
        <w:t>Sie sagte sinngemäß (ich schreibe das jetzt auf, weil mir das komisch vorkam):</w:t>
      </w:r>
    </w:p>
    <w:p>
      <w:pPr>
        <w:ind w:left="567"/>
      </w:pPr>
      <w:r>
        <w:rPr>
          <w:i/>
        </w:rPr>
        <w:t>"Marcus, ich muss Ihnen etwas sagen. Wir haben entschieden, die IT nach außen zu geben. An DataFlow Solutions aus Frankfurt. Die machen das dann komplett. Das bedeutet, Ihre Stelle und die der anderen im IT-Bereich fallen weg. Wir sind noch nicht ganz fertig mit den Verhandlungen, aber das ist strategisch entschieden."</w:t>
      </w:r>
    </w:p>
    <w:p>
      <w:pPr>
        <w:jc w:val="left"/>
      </w:pPr>
      <w:r>
        <w:t>Ich hab gefragt ob das alle trifft (also auch Grunewald und Sonnleitner).</w:t>
      </w:r>
    </w:p>
    <w:p>
      <w:pPr>
        <w:jc w:val="left"/>
      </w:pPr>
      <w:r>
        <w:t>Sie sagte: "Das besprechen wir noch."</w:t>
      </w:r>
    </w:p>
    <w:p>
      <w:pPr>
        <w:jc w:val="left"/>
      </w:pPr>
      <w:r>
        <w:t>Ich hab gefragt ob es eine Abfindung gibt.</w:t>
      </w:r>
    </w:p>
    <w:p>
      <w:pPr>
        <w:jc w:val="left"/>
      </w:pPr>
      <w:r>
        <w:t>Sie sagte: "Darüber reden wir zu gegebener Zeit."</w:t>
      </w:r>
    </w:p>
    <w:p>
      <w:pPr>
        <w:jc w:val="left"/>
      </w:pPr>
      <w:r>
        <w:t>Das Gespräch dauerte vielleicht 10 Minuten. Kein Zeuge dabei.</w:t>
      </w:r>
    </w:p>
    <w:p>
      <w:pPr>
        <w:jc w:val="left"/>
      </w:pPr>
      <w:r>
        <w:t>Danach habe ich diese Notiz gemacht (selber Tag, abends).</w:t>
      </w:r>
    </w:p>
    <w:p>
      <w:pPr>
        <w:jc w:val="left"/>
      </w:pPr>
      <w:r>
        <w:rPr>
          <w:b/>
        </w:rPr>
        <w:t>M. Weber, 25.03.2026</w:t>
      </w:r>
    </w:p>
    <w:p/>
    <w:p>
      <w:pPr>
        <w:pStyle w:val="Heading2"/>
      </w:pPr>
      <w:r>
        <w:rPr>
          <w:rFonts w:ascii="Times New Roman" w:hAnsi="Times New Roman"/>
        </w:rPr>
        <w:t>Kanzleikommentar (RA Steinhauer, 07.05.2026)</w:t>
      </w:r>
    </w:p>
    <w:p>
      <w:pPr>
        <w:jc w:val="left"/>
      </w:pPr>
      <w:r>
        <w:t>Die zeitnah angefertigte Eigennotiz des Mandanten ist ein wichtiges Indiz für den Inhalt des Gesprächs vom 25.03.2026. Für das Verfahren relevant sind insbesondere zwei Aussagen:</w:t>
      </w:r>
    </w:p>
    <w:p>
      <w:pPr>
        <w:pStyle w:val="ListNumber"/>
      </w:pPr>
      <w:r>
        <w:rPr>
          <w:b/>
        </w:rPr>
        <w:t>"Wir sind noch nicht ganz fertig mit den Verhandlungen"</w:t>
      </w:r>
      <w:r>
        <w:t xml:space="preserve"> — belegt, dass der Outsourcing-Vertrag mit DataFlow Solutions bei Ausspruch der Kündigung (28.04.2026) möglicherweise noch nicht abgeschlossen war. Wenn die unternehmerische Entscheidung noch in der Verhandlungsphase steckt, fehlt es an der notwendigen Verfestigung der Entscheidung zum Zeitpunkt des Kündigungsausspruchs (BAG, Urt. v. 20.06.2013 – 2 AZR 379/12).</w:t>
      </w:r>
    </w:p>
    <w:p>
      <w:pPr>
        <w:pStyle w:val="ListNumber"/>
      </w:pPr>
      <w:r>
        <w:rPr>
          <w:b/>
        </w:rPr>
        <w:t>"Ihre Stelle und die der anderen im IT-Bereich fallen weg"</w:t>
      </w:r>
      <w:r>
        <w:t xml:space="preserve"> — weist darauf hin, dass zunächst alle drei IT-Mitarbeiter (Weber, Grunewald, Sonnleitner) betroffen sein sollten. Warum nur Weber und nicht auch Grunewald entlassen wurde, ist erklärungsbedürftig.</w:t>
      </w:r>
    </w:p>
    <w:p>
      <w:pPr>
        <w:jc w:val="left"/>
      </w:pPr>
      <w:r>
        <w:rPr>
          <w:b/>
        </w:rPr>
        <w:t>Beweisantritt:</w:t>
      </w:r>
      <w:r>
        <w:t xml:space="preserve"> Weber als Partei, Kreutzfeldt als Zeugin oder Parteivernehmung; die Eigennotiz ist als Urkundenbeweis einzuführen (Paragraf 416 ZPO i.V.m. Paragraf 46 Abs. 2 ArbGG).</w:t>
      </w:r>
    </w:p>
    <w:p>
      <w:pPr>
        <w:jc w:val="left"/>
      </w:pPr>
      <w:r>
        <w:rPr>
          <w:b/>
        </w:rPr>
        <w:t>Anlage zur Klageschrift:</w:t>
      </w:r>
      <w:r>
        <w:t xml:space="preserve"> Diese Notiz wird als Anlage K 4 beigefügt.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