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Sozialauswahl — Rohtabelle (Kanzleiintern, Entwurf)</w:t>
      </w:r>
    </w:p>
    <w:p>
      <w:pPr>
        <w:pStyle w:val="Heading2"/>
      </w:pPr>
      <w:r>
        <w:rPr>
          <w:rFonts w:ascii="Times New Roman" w:hAnsi="Times New Roman"/>
        </w:rPr>
        <w:t>Weber ./. TechLogix GmbH — Stand 08.05.2026</w:t>
      </w:r>
    </w:p>
    <w:p>
      <w:pPr>
        <w:ind w:left="567"/>
      </w:pPr>
      <w:r>
        <w:rPr>
          <w:i/>
        </w:rPr>
        <w:t>Kriterien Paragraf 1 Abs. 3 KSchG: Betriebszugehörigkeit (BZ), Lebensalter, Unterhaltspflichten, Schwerbehinderung</w:t>
      </w:r>
    </w:p>
    <w:p>
      <w:pPr>
        <w:ind w:left="567"/>
      </w:pPr>
      <w:r>
        <w:rPr>
          <w:i/>
        </w:rPr>
        <w:t>Punkteschema nach BAG-Grundsätzen (nicht zwingend, aber Orientierung)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Marcus Weber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Felix Grunewald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Petra Sonnleitner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Senior IT-Admin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IT-Admin (Junior)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IT-Administratorin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Geburtsjahr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1981 (44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1993 (32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1975 (51 J.)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Eintritt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01.03.2018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Feb 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Jun 2018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Betriebszugehörigkeit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 J. 2 M.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 J. 3 M.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7 J. 11 M.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Unterhaltspflichten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Kinder (9, 13 J.)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(ledig)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Kind (14 J.)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Schwerbehinderung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GdB 30 (kein SB-Ausweis)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Verheiratet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Punkte (Orientierungsschema, str.)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Weber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Grunewald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Sonnleitner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BZ (1 P. pro Jahr)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Lebensalter (1 P. pro 5 J. ab 30)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 Ehegatte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(?)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Unterhalt Kinder (2 P. pro Kind)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Schwerbehinderung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(GdB 30 &lt; 50)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Bewertung</w:t>
      </w:r>
    </w:p>
    <w:p>
      <w:pPr>
        <w:jc w:val="left"/>
      </w:pPr>
      <w:r>
        <w:t>Grunewald hat mit Abstand die wenigsten Schutzkritierien — er wäre als erstes zu entlassen.</w:t>
      </w:r>
    </w:p>
    <w:p>
      <w:pPr>
        <w:jc w:val="left"/>
      </w:pPr>
      <w:r>
        <w:t>Zwischen Weber (15 P.) und Sonnleitner (13 P.) ist der Unterschied gering.</w:t>
      </w:r>
    </w:p>
    <w:p>
      <w:pPr>
        <w:jc w:val="left"/>
      </w:pPr>
      <w:r>
        <w:t xml:space="preserve">→ Kündigung Weber bei gleichzeitiger Weiterbeschäftigung Grunewald ist </w:t>
      </w:r>
      <w:r>
        <w:rPr>
          <w:b/>
        </w:rPr>
        <w:t>sehr angreifbar</w:t>
      </w:r>
      <w:r>
        <w:t>.</w:t>
      </w:r>
    </w:p>
    <w:p>
      <w:pPr>
        <w:jc w:val="left"/>
      </w:pPr>
      <w:r>
        <w:t>→ GdB 30 ist kein Sonderkündigungsschutz (Paragraf 168 SGB IX erst ab GdB 50), aber Auswahlpunkt?</w:t>
      </w:r>
    </w:p>
    <w:p>
      <w:pPr>
        <w:jc w:val="left"/>
      </w:pPr>
      <w:r>
        <w:t>BAG str. — tendenziell nein bei GdB &lt; 50 ohne Ausweis (vgl. BAG 18.03.2010 – 2 AZR 468/08).</w:t>
      </w:r>
    </w:p>
    <w:p>
      <w:pPr>
        <w:pStyle w:val="Heading2"/>
      </w:pPr>
      <w:r>
        <w:rPr>
          <w:rFonts w:ascii="Times New Roman" w:hAnsi="Times New Roman"/>
        </w:rPr>
        <w:t>Offene Fragen</w:t>
      </w:r>
    </w:p>
    <w:p>
      <w:pPr>
        <w:pStyle w:val="ListBullet"/>
      </w:pPr>
      <w:r>
        <w:t>[ ] Gibt es weitere vergleichbare AN im IT-Bereich? Weber erwähnt nur Grunewald + Sonnleitner</w:t>
      </w:r>
    </w:p>
    <w:p>
      <w:pPr>
        <w:pStyle w:val="ListBullet"/>
      </w:pPr>
      <w:r>
        <w:t>[ ] Ist Sonnleitners Kind noch unterhaltspflichtig? (14 J. → ja)</w:t>
      </w:r>
    </w:p>
    <w:p>
      <w:pPr>
        <w:pStyle w:val="ListBullet"/>
      </w:pPr>
      <w:r>
        <w:t>[ ] Ist Sonnleitner verheiratet / eigenes Einkommen?</w:t>
      </w:r>
    </w:p>
    <w:p>
      <w:pPr>
        <w:pStyle w:val="ListBullet"/>
      </w:pPr>
      <w:r>
        <w:t>[ ] Warum genau Weber und nicht Grunewald? AG muss darlegen (Paragraf 1 Abs. 3 S. 3 KSchG)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