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Anamnese und Erkrankungschronologie – Vivian Feldermann (2021–2026)</w:t>
      </w:r>
    </w:p>
    <w:p>
      <w:pPr>
        <w:jc w:val="left"/>
      </w:pPr>
      <w:r>
        <w:rPr>
          <w:b/>
        </w:rPr>
        <w:t>Erstellt:</w:t>
      </w:r>
      <w:r>
        <w:t xml:space="preserve"> 17.02.2026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Erstgespräch und Aktenlage</w:t>
      </w:r>
    </w:p>
    <w:p>
      <w:pPr>
        <w:jc w:val="left"/>
      </w:pPr>
      <w:r>
        <w:rPr>
          <w:b/>
        </w:rPr>
        <w:t>Zweck:</w:t>
      </w:r>
      <w:r>
        <w:t xml:space="preserve"> Verfahrensübergreifende Sachverhaltsdarstellung; Grundlage für alle Schriftsätze</w:t>
      </w:r>
    </w:p>
    <w:p/>
    <w:p>
      <w:pPr>
        <w:pStyle w:val="Heading2"/>
      </w:pPr>
      <w:r>
        <w:rPr>
          <w:rFonts w:ascii="Times New Roman" w:hAnsi="Times New Roman"/>
        </w:rPr>
        <w:t>1. Zur Person</w:t>
      </w:r>
    </w:p>
    <w:p>
      <w:pPr>
        <w:jc w:val="left"/>
      </w:pPr>
      <w:r>
        <w:t>Vivian Feldermann, geb. 03.09.1984 in Halle/Saale, wohnhaft Bornaische Straße 78, 04277 Leipzig-Connewitz, ist gelernte Gesundheits- und Krankenpflegerin. Sie absolvierte ihre Ausbildung 2003–2006 am Universitätsklinikum Halle und war von September 2009 bis November 2021 am Universitätsklinikum Leipzig (UKL) tätig, zuletzt als Stationsschwester auf der hämatologisch-onkologischen Station (Station 10a, Innere Medizin). Sie ist verheiratet mit Marko Feldermann und Mutter zweier minderjähriger Kinder: Liam (geb. 2014) und Marlene (geb. 2016).</w:t>
      </w:r>
    </w:p>
    <w:p/>
    <w:p>
      <w:pPr>
        <w:pStyle w:val="Heading2"/>
      </w:pPr>
      <w:r>
        <w:rPr>
          <w:rFonts w:ascii="Times New Roman" w:hAnsi="Times New Roman"/>
        </w:rPr>
        <w:t>2. Berufliche Exposition – November 2021</w:t>
      </w:r>
    </w:p>
    <w:p>
      <w:pPr>
        <w:jc w:val="left"/>
      </w:pPr>
      <w:r>
        <w:t>Im Rahmen der vierten SARS-CoV-2-Welle (Oktober–Dezember 2021) wurde Frau Feldermann ab dem 01.11.2021 auf der improvisierten Covid-Isolierstation des UKL eingesetzt. Nach eigener Aussage und nach Aussage von Kollegen waren FFP2-Masken zeitweise nicht in ausreichender Stückzahl vorhanden; es wurde teilweise mit chirurgischen Masken gearbeitet. Eine schriftliche Dokumentation der Schutzausstattungssituation liegt in der BGW-Akte (wird nach Akteneinsicht ausgewertet, Aktenstück 14).</w:t>
      </w:r>
    </w:p>
    <w:p>
      <w:pPr>
        <w:jc w:val="left"/>
      </w:pPr>
      <w:r>
        <w:t xml:space="preserve">Am </w:t>
      </w:r>
      <w:r>
        <w:rPr>
          <w:b/>
        </w:rPr>
        <w:t>14.11.2021</w:t>
      </w:r>
      <w:r>
        <w:t xml:space="preserve"> wurde bei Frau Feldermann ein PCR-Test positiv auf SARS-CoV-2 getestet. Die Infektion verlief initial mit hohem Fieber (39,8 °C), Atemnot, schwerem Krankheitsgefühl. Eine stationäre Aufnahme war nicht erforderlich, jedoch vierzehntägige Quarantäne und Krankschreibung ab 14.11.2021.</w:t>
      </w:r>
    </w:p>
    <w:p/>
    <w:p>
      <w:pPr>
        <w:pStyle w:val="Heading2"/>
      </w:pPr>
      <w:r>
        <w:rPr>
          <w:rFonts w:ascii="Times New Roman" w:hAnsi="Times New Roman"/>
        </w:rPr>
        <w:t>3. Akutverlauf und Übergang in Long-Covid (November 2021 – März 2022)</w:t>
      </w:r>
    </w:p>
    <w:p>
      <w:pPr>
        <w:jc w:val="left"/>
      </w:pPr>
      <w:r>
        <w:t>Nach formaler Genesung Ende November 2021 blieb Frau Feldermann dauerhaft arbeitsunfähig. Die Symptome entwickelten sich nicht zurück; es zeigte sich vielmehr eine progrediente Verschlechterung:</w:t>
      </w:r>
    </w:p>
    <w:p>
      <w:pPr>
        <w:pStyle w:val="ListBullet"/>
      </w:pPr>
      <w:r>
        <w:t>Dezember 2021: anhaltende Fatigue, Kurzatmigkeit bei Belastung, Schlafstörungen</w:t>
      </w:r>
    </w:p>
    <w:p>
      <w:pPr>
        <w:pStyle w:val="ListBullet"/>
      </w:pPr>
      <w:r>
        <w:t>Januar 2022: erste "Crashes" nach körperlicher Aktivität (Post-Exertional Malaise), Herzrasen beim Aufstehen</w:t>
      </w:r>
    </w:p>
    <w:p>
      <w:pPr>
        <w:pStyle w:val="ListBullet"/>
      </w:pPr>
      <w:r>
        <w:t>Februar 2022: Hausarzt Dr. Märker diagnostiziert prolongierten Post-Covid-Verlauf; Überweisung Neurologie und Kardiologie UKL</w:t>
      </w:r>
    </w:p>
    <w:p>
      <w:pPr>
        <w:pStyle w:val="ListBullet"/>
      </w:pPr>
      <w:r>
        <w:t>März 2022: Erstvorstellung Post-COVID-Ambulanz der Universitätsmedizin Berlin-Nord Berlin, Prof. Carmen Seifert. Diagnose: Post-Covid-Syndrom mit Post-Exertional Malaise (ME/CFS-Kriterien erfüllt nach Canadian Consensus Criteria), V. a. POTS</w:t>
      </w:r>
    </w:p>
    <w:p/>
    <w:p>
      <w:pPr>
        <w:pStyle w:val="Heading2"/>
      </w:pPr>
      <w:r>
        <w:rPr>
          <w:rFonts w:ascii="Times New Roman" w:hAnsi="Times New Roman"/>
        </w:rPr>
        <w:t>4. Medizinische Diagnosen (Stand Februar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ICD-10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Diagnose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Behandelnde Stelle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U09.9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Post-Covid-Zustand, nicht näher bezeichnet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Märker, Universitätsmedizin Berlin-Nord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G93.3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Chronisches Erschöpfungssyndrom (ME/CFS)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Universitätsmedizin Berlin-Nord (Prof. Seifert)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G90.3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Posturales Tachykardiesyndrom (POTS, V. 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Universitätsmedizin Berlin-Nord, Kardiologie UKL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F33.1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Rezidivierende depressive Störung, mittelgradige Episode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Klinikum am Auenwald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R41.3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Kognitive Störung (brain fog)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behandelnden Ärzte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Z57.5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Berufliche Exposition gegenüber infektiösen Erregern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(BK-Verfahren relevant)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Behandlungsverlauf 2022–2026</w:t>
      </w:r>
    </w:p>
    <w:p>
      <w:pPr>
        <w:pStyle w:val="Heading3"/>
      </w:pPr>
      <w:r>
        <w:rPr>
          <w:rFonts w:ascii="Times New Roman" w:hAnsi="Times New Roman"/>
        </w:rPr>
        <w:t>2022</w:t>
      </w:r>
    </w:p>
    <w:p>
      <w:pPr>
        <w:pStyle w:val="ListBullet"/>
      </w:pPr>
      <w:r>
        <w:t>Hausarztbehandlung Dr. Märker, fortlaufend, quartalsweise Befundberichte</w:t>
      </w:r>
    </w:p>
    <w:p>
      <w:pPr>
        <w:pStyle w:val="ListBullet"/>
      </w:pPr>
      <w:r>
        <w:t>Post-COVID-Ambulanz der Universitätsmedizin Berlin-Nord: 3 Vorstellungen (März, Juli, November 2022)</w:t>
      </w:r>
    </w:p>
    <w:p>
      <w:pPr>
        <w:pStyle w:val="ListBullet"/>
      </w:pPr>
      <w:r>
        <w:t>Kardiologie UKL: Langzeit-EKG, Kipptisch-Test (positiv für POTS-Kriterien)</w:t>
      </w:r>
    </w:p>
    <w:p>
      <w:pPr>
        <w:pStyle w:val="ListBullet"/>
      </w:pPr>
      <w:r>
        <w:t>Neurologische Ambulanz UKL: MRT Schädel (unauffällig), neuropsychologische Testung (signifikante Defizite in Arbeitsgedächtnis und Verarbeitungsgeschwindigkeit)</w:t>
      </w:r>
    </w:p>
    <w:p>
      <w:pPr>
        <w:pStyle w:val="Heading3"/>
      </w:pPr>
      <w:r>
        <w:rPr>
          <w:rFonts w:ascii="Times New Roman" w:hAnsi="Times New Roman"/>
        </w:rPr>
        <w:t>2023</w:t>
      </w:r>
    </w:p>
    <w:p>
      <w:pPr>
        <w:pStyle w:val="ListBullet"/>
      </w:pPr>
      <w:r>
        <w:t>Universitätsmedizin Berlin-Nord: 2 Vorstellungen; ME/CFS-Diagnose bestätigt</w:t>
      </w:r>
    </w:p>
    <w:p>
      <w:pPr>
        <w:pStyle w:val="ListBullet"/>
      </w:pPr>
      <w:r>
        <w:t>LASOV Sachsen: GdB-Antrag Februar 2023; Gutachten durch Versorgungsarzt (nicht unabhängig); Bescheid GdB 30 September 2023; Widerspruch eingelegt (zunächst ohne anwaltliche Vertretung, erfolglos)</w:t>
      </w:r>
    </w:p>
    <w:p>
      <w:pPr>
        <w:pStyle w:val="ListBullet"/>
      </w:pPr>
      <w:r>
        <w:t>Reha-Antrag gestellt (Rentenversicherung): abgelehnt (mangels Aussicht auf Wiedereingliederung)</w:t>
      </w:r>
    </w:p>
    <w:p>
      <w:pPr>
        <w:pStyle w:val="Heading3"/>
      </w:pPr>
      <w:r>
        <w:rPr>
          <w:rFonts w:ascii="Times New Roman" w:hAnsi="Times New Roman"/>
        </w:rPr>
        <w:t>2024</w:t>
      </w:r>
    </w:p>
    <w:p>
      <w:pPr>
        <w:pStyle w:val="ListBullet"/>
      </w:pPr>
      <w:r>
        <w:t>DRV-Antrag EM-Rente: Januar 2024</w:t>
      </w:r>
    </w:p>
    <w:p>
      <w:pPr>
        <w:pStyle w:val="ListBullet"/>
      </w:pPr>
      <w:r>
        <w:t>DRV-Gutachten durch Dr. Volker Härtung, Arbeitsmedizin/Sozialmedizin, Leipzig: Feststellung Restleistungsvermögen 6 Stunden/Tag auf dem allgemeinen Arbeitsmarkt, Diagnose "Anpassungsstörung" (F43.2) — diese Diagnose widerspricht den Fachbefunden der Universitätsmedizin Berlin-Nord und des SKH</w:t>
      </w:r>
    </w:p>
    <w:p>
      <w:pPr>
        <w:pStyle w:val="ListBullet"/>
      </w:pPr>
      <w:r>
        <w:t>Psychiatrische Behandlung Klinikum am Auenwald Leipzig ab September 2024 (stationär 09/2024–11/2024): Entlassungsdiagnose F33.1, Empfehlung MBSR-basierter Reha und weitergehende psychiatrische Behandlung</w:t>
      </w:r>
    </w:p>
    <w:p>
      <w:pPr>
        <w:pStyle w:val="Heading3"/>
      </w:pPr>
      <w:r>
        <w:rPr>
          <w:rFonts w:ascii="Times New Roman" w:hAnsi="Times New Roman"/>
        </w:rPr>
        <w:t>2025</w:t>
      </w:r>
    </w:p>
    <w:p>
      <w:pPr>
        <w:pStyle w:val="ListBullet"/>
      </w:pPr>
      <w:r>
        <w:t>September 2025: SGB-II-Antrag beim Jobcenter Leipzig</w:t>
      </w:r>
    </w:p>
    <w:p>
      <w:pPr>
        <w:pStyle w:val="ListBullet"/>
      </w:pPr>
      <w:r>
        <w:t>November 2025: Ablehnung durch Jobcenter; Begründung: Einkommen Ehemann übersteige Bedarf der Bedarfsgemeinschaft</w:t>
      </w:r>
    </w:p>
    <w:p>
      <w:pPr>
        <w:pStyle w:val="ListBullet"/>
      </w:pPr>
      <w:r>
        <w:t>November 2025: KdU-Kürzung; Miete Bornaische Str. 78: 960 EUR (KdU Leipzig 2025: max. 780 EUR/Monat für 4 Personen laut Jobcenter-Richtlinie — strittig)</w:t>
      </w:r>
    </w:p>
    <w:p>
      <w:pPr>
        <w:pStyle w:val="ListBullet"/>
      </w:pPr>
      <w:r>
        <w:t>Dezember 2025: Vermieter Peter Günther schreibt erstmals wegen Mietrückstands</w:t>
      </w:r>
    </w:p>
    <w:p>
      <w:pPr>
        <w:pStyle w:val="Heading3"/>
      </w:pPr>
      <w:r>
        <w:rPr>
          <w:rFonts w:ascii="Times New Roman" w:hAnsi="Times New Roman"/>
        </w:rPr>
        <w:t>2026</w:t>
      </w:r>
    </w:p>
    <w:p>
      <w:pPr>
        <w:pStyle w:val="ListBullet"/>
      </w:pPr>
      <w:r>
        <w:t>Januar 2026: Vermieter droht schriftlich Räumungsklage an</w:t>
      </w:r>
    </w:p>
    <w:p>
      <w:pPr>
        <w:pStyle w:val="ListBullet"/>
      </w:pPr>
      <w:r>
        <w:t>28.01.2026: BGW-Bescheid: BK 3101 abgelehnt</w:t>
      </w:r>
    </w:p>
    <w:p>
      <w:pPr>
        <w:pStyle w:val="ListBullet"/>
      </w:pPr>
      <w:r>
        <w:t>14.02.2026: DRV-Bescheid: EM-Rente abgelehnt</w:t>
      </w:r>
    </w:p>
    <w:p>
      <w:pPr>
        <w:pStyle w:val="ListBullet"/>
      </w:pPr>
      <w:r>
        <w:t>17.02.2026: Erstkontakt und Beauftragung RA Sonnemann</w:t>
      </w:r>
    </w:p>
    <w:p/>
    <w:p>
      <w:pPr>
        <w:pStyle w:val="Heading2"/>
      </w:pPr>
      <w:r>
        <w:rPr>
          <w:rFonts w:ascii="Times New Roman" w:hAnsi="Times New Roman"/>
        </w:rPr>
        <w:t>6. Bewertung der Verfahrenslage</w:t>
      </w:r>
    </w:p>
    <w:p>
      <w:pPr>
        <w:pStyle w:val="Heading3"/>
      </w:pPr>
      <w:r>
        <w:rPr>
          <w:rFonts w:ascii="Times New Roman" w:hAnsi="Times New Roman"/>
        </w:rPr>
        <w:t>6.1 BK 3101 (Infektionskrankheiten)</w:t>
      </w:r>
    </w:p>
    <w:p>
      <w:pPr>
        <w:jc w:val="left"/>
      </w:pPr>
      <w:r>
        <w:t>Paragraf 9 SGB VII i. V. m. Anlage 1 Nr. 3101 BKV schützt Erkrankungen durch Infektionskrankheiten bei Tätigkeiten in Krankenpflege. Long-Covid/ME/CFS nach beruflich erworbener Covid-19-Infektion kann als BK 3101 anerkannt werden. Die Ablehnung der BGW stützt sich auf angeblich fehlende Belege der beruflichen Exposition — dies ist nach Aktenlage anfechtbar (PCR-positiv während Covid-Stationseinsatz).</w:t>
      </w:r>
    </w:p>
    <w:p>
      <w:pPr>
        <w:pStyle w:val="Heading3"/>
      </w:pPr>
      <w:r>
        <w:rPr>
          <w:rFonts w:ascii="Times New Roman" w:hAnsi="Times New Roman"/>
        </w:rPr>
        <w:t>6.2 Erwerbsminderungsrente</w:t>
      </w:r>
    </w:p>
    <w:p>
      <w:pPr>
        <w:jc w:val="left"/>
      </w:pPr>
      <w:r>
        <w:t>Die DRV-Einschätzung (6 Stunden Restleistungsvermögen, Anpassungsstörung) steht im klaren Widerspruch zu:</w:t>
      </w:r>
    </w:p>
    <w:p>
      <w:pPr>
        <w:pStyle w:val="ListBullet"/>
      </w:pPr>
      <w:r>
        <w:t>ME/CFS-Diagnose nach CCC (Universitätsmedizin Berlin-Nord)</w:t>
      </w:r>
    </w:p>
    <w:p>
      <w:pPr>
        <w:pStyle w:val="ListBullet"/>
      </w:pPr>
      <w:r>
        <w:t>POTS-Diagnose mit Objektivierung durch Kipptisch-Test</w:t>
      </w:r>
    </w:p>
    <w:p>
      <w:pPr>
        <w:pStyle w:val="ListBullet"/>
      </w:pPr>
      <w:r>
        <w:t>SKH-Befund F33.1 (mittelgradige depressive Episode, nicht "Anpassungsstörung")</w:t>
      </w:r>
    </w:p>
    <w:p>
      <w:pPr>
        <w:pStyle w:val="ListBullet"/>
      </w:pPr>
      <w:r>
        <w:t>PEM-Tagebuch (Aktivitätsniveau faktisch weit unter 6 Stunden)</w:t>
      </w:r>
    </w:p>
    <w:p>
      <w:pPr>
        <w:pStyle w:val="Heading3"/>
      </w:pPr>
      <w:r>
        <w:rPr>
          <w:rFonts w:ascii="Times New Roman" w:hAnsi="Times New Roman"/>
        </w:rPr>
        <w:t>6.3 GdB</w:t>
      </w:r>
    </w:p>
    <w:p>
      <w:pPr>
        <w:jc w:val="left"/>
      </w:pPr>
      <w:r>
        <w:t>GdB 30 berücksichtigt nicht angemessen das Zusammenwirken der Einzel-GdB: ME/CFS schwer (GdB 50–70 nach Anhaltspunkten), POTS (GdB 20–40), psychiatrisch (GdB 30–40). Gesamt-GdB hätte bei korrekter Bewertung mindestens 50 erreichen müssen (Schwerbehinderung, Paragraf 2 Abs. 2 SGB IX).</w:t>
      </w:r>
    </w:p>
    <w:p>
      <w:pPr>
        <w:pStyle w:val="Heading3"/>
      </w:pPr>
      <w:r>
        <w:rPr>
          <w:rFonts w:ascii="Times New Roman" w:hAnsi="Times New Roman"/>
        </w:rPr>
        <w:t>6.4 SGB II / Jobcenter</w:t>
      </w:r>
    </w:p>
    <w:p>
      <w:pPr>
        <w:jc w:val="left"/>
      </w:pPr>
      <w:r>
        <w:t>Einkommensanrechnung Ehemann: Laut Jobcenter wird das gesamte Bruttoeinkommen (4.310 EUR) herangezogen. Nach Paragrafen 11, 11b SGB II sind jedoch Absetzbeträge zu berücksichtigen (Erwerbstätigenpauschale 100 EUR, tatsächliche Beiträge KV/RV/AV, Werbungskosten). Netto-Anrechnungseinkommen dürfte unter dem Gesamtbedarf liegen (vgl. Aktenstück 10, 11).</w:t>
      </w:r>
    </w:p>
    <w:p>
      <w:pPr>
        <w:pStyle w:val="Heading3"/>
      </w:pPr>
      <w:r>
        <w:rPr>
          <w:rFonts w:ascii="Times New Roman" w:hAnsi="Times New Roman"/>
        </w:rPr>
        <w:t>6.5 KdU / Eilantrag</w:t>
      </w:r>
    </w:p>
    <w:p>
      <w:pPr>
        <w:jc w:val="left"/>
      </w:pPr>
      <w:r>
        <w:t>KdU-Angemessenheitswert Leipzig für 4-Personen-HH: nach Wohngeldgesetz-Reform 2023 und Mietspiegeldaten Leipzig 2024 min. 900 EUR (Kaltmiete) zumutbar; Jobcenter-Richtlinie greift offenbar veraltete Werte. Eilantrag (einstweiliger Rechtsschutz, Paragraf 86b Abs. 2 SGG) ist begründet, da Wohnungsverlust unmittelbar droht.</w:t>
      </w:r>
    </w:p>
    <w:p/>
    <w:p>
      <w:pPr>
        <w:pStyle w:val="Heading2"/>
      </w:pPr>
      <w:r>
        <w:rPr>
          <w:rFonts w:ascii="Times New Roman" w:hAnsi="Times New Roman"/>
        </w:rPr>
        <w:t>7. Prognose</w:t>
      </w:r>
    </w:p>
    <w:p>
      <w:pPr>
        <w:jc w:val="left"/>
      </w:pPr>
      <w:r>
        <w:t>Ohne anwaltliche Intervention drohender Wohnungsverlust innerhalb von 4–6 Wochen. Mittelfristig bestehen gute Chancen auf:</w:t>
      </w:r>
    </w:p>
    <w:p>
      <w:pPr>
        <w:pStyle w:val="ListBullet"/>
      </w:pPr>
      <w:r>
        <w:t>EM-Rente (volle Erwerbsminderung) nach Einholung Gegengutachten</w:t>
      </w:r>
    </w:p>
    <w:p>
      <w:pPr>
        <w:pStyle w:val="ListBullet"/>
      </w:pPr>
      <w:r>
        <w:t>GdB-Erhöhung auf mindestens 50 (Schwerbehinderung)</w:t>
      </w:r>
    </w:p>
    <w:p>
      <w:pPr>
        <w:pStyle w:val="ListBullet"/>
      </w:pPr>
      <w:r>
        <w:t>BK-Anerkennung (aufwändig, aber mit Zeugen und Akteneinsicht belastbar)</w:t>
      </w:r>
    </w:p>
    <w:p>
      <w:pPr>
        <w:pStyle w:val="ListBullet"/>
      </w:pPr>
      <w:r>
        <w:t>SGB-II-Nachzahlungen (einige Monate rückwirkend möglich)</w:t>
      </w:r>
    </w:p>
    <w:p/>
    <w:p>
      <w:pPr>
        <w:jc w:val="left"/>
      </w:pPr>
      <w:r>
        <w:rPr>
          <w:i/>
        </w:rPr>
        <w:t>Erstellt: RA Sonnemann, 17.02.2026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