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Mandantin</w:t>
            </w:r>
          </w:p>
        </w:tc>
        <w:tc>
          <w:tcPr>
            <w:tcW w:type="dxa" w:w="3402"/>
            <w:vAlign w:val="center"/>
          </w:tcPr>
          <w:p>
            <w:r>
              <w:rPr>
                <w:rFonts w:ascii="Arial" w:hAnsi="Arial"/>
                <w:sz w:val="17"/>
              </w:rPr>
              <w:t>Vivian Feldermann</w:t>
            </w:r>
          </w:p>
        </w:tc>
      </w:tr>
      <w:tr>
        <w:tc>
          <w:tcPr>
            <w:tcW w:type="dxa" w:w="1984"/>
            <w:vAlign w:val="center"/>
          </w:tcPr>
          <w:p>
            <w:r>
              <w:rPr>
                <w:rFonts w:ascii="Arial" w:hAnsi="Arial"/>
                <w:b/>
                <w:sz w:val="17"/>
              </w:rPr>
              <w:t>Bearbeitung</w:t>
            </w:r>
          </w:p>
        </w:tc>
        <w:tc>
          <w:tcPr>
            <w:tcW w:type="dxa" w:w="3402"/>
            <w:vAlign w:val="center"/>
          </w:tcPr>
          <w:p>
            <w:r>
              <w:rPr>
                <w:rFonts w:ascii="Arial" w:hAnsi="Arial"/>
                <w:sz w:val="17"/>
              </w:rPr>
              <w:t>Rechtsanwalt Marit Sonnemann</w:t>
            </w:r>
          </w:p>
        </w:tc>
      </w:tr>
      <w:tr>
        <w:tc>
          <w:tcPr>
            <w:tcW w:type="dxa" w:w="1984"/>
            <w:vAlign w:val="center"/>
          </w:tcPr>
          <w:p>
            <w:r>
              <w:rPr>
                <w:rFonts w:ascii="Arial" w:hAnsi="Arial"/>
                <w:b/>
                <w:sz w:val="17"/>
              </w:rPr>
              <w:t>Vermerk</w:t>
            </w:r>
          </w:p>
        </w:tc>
        <w:tc>
          <w:tcPr>
            <w:tcW w:type="dxa" w:w="3402"/>
            <w:vAlign w:val="center"/>
          </w:tcPr>
          <w:p>
            <w:r>
              <w:rPr>
                <w:rFonts w:ascii="Arial" w:hAnsi="Arial"/>
                <w:sz w:val="17"/>
              </w:rPr>
              <w:t>17. Februar 2026, 14:35 Uhr</w:t>
            </w:r>
          </w:p>
        </w:tc>
      </w:tr>
      <w:tr>
        <w:tc>
          <w:tcPr>
            <w:tcW w:type="dxa" w:w="1984"/>
            <w:vAlign w:val="center"/>
          </w:tcPr>
          <w:p>
            <w:r>
              <w:rPr>
                <w:rFonts w:ascii="Arial" w:hAnsi="Arial"/>
                <w:b/>
                <w:sz w:val="17"/>
              </w:rPr>
              <w:t>Frist</w:t>
            </w:r>
          </w:p>
        </w:tc>
        <w:tc>
          <w:tcPr>
            <w:tcW w:type="dxa" w:w="3402"/>
            <w:vAlign w:val="center"/>
          </w:tcPr>
          <w:p>
            <w:r>
              <w:rPr>
                <w:rFonts w:ascii="Arial" w:hAnsi="Arial"/>
                <w:sz w:val="17"/>
              </w:rPr>
              <w:t>Widerspruch vorsorglich bis 27. Februar 2026</w:t>
            </w:r>
          </w:p>
        </w:tc>
      </w:tr>
    </w:tbl>
    <w:p/>
    <w:p>
      <w:pPr>
        <w:pStyle w:val="Title"/>
      </w:pPr>
      <w:r>
        <w:t>Prüfvermerk zum BGW-Bescheid vom 28. Januar 2026</w:t>
      </w:r>
    </w:p>
    <w:p>
      <w:r>
        <w:t>Anlass und Posteingang</w:t>
      </w:r>
    </w:p>
    <w:p>
      <w:r>
        <w:t>Die Mandantin hat den Umschlag am 30. Januar 2026 aus dem Hausbriefkasten genommen. Ein förmlicher Zustellnachweis liegt nicht vor. Der Bescheid, der Umschlag und die von der Mandantin übersandte Dienstplanfotografie wurden am 16. Februar 2026 in der Kanzlei eingescannt. Die Frist ist unabhängig von der späteren Zugangsklärung auf den 27. Februar 2026 notiert.</w:t>
      </w:r>
    </w:p>
    <w:p>
      <w:r>
        <w:t>Tatsachenabgleich</w:t>
      </w:r>
    </w:p>
    <w:p>
      <w:r>
        <w:t>Der Bescheid bestätigt vier Dienste auf Station C4 kurz vor dem positiven PCR-Test. Er lässt offen, welche Patienten die Mandantin versorgte, ob bei den betreffenden Kontakten Aerosolbehandlungen stattfanden und wann die Schutzausrüstung tatsächlich ausgegeben wurde. Die bloße Zentrallagerliste beantwortet diese Fragen nicht. Der erwähnte private Familienkontakt ist bislang weder zeitlich noch durch einen Befund belegt.</w:t>
      </w:r>
    </w:p>
    <w:p>
      <w:r>
        <w:t>Beweisspur</w:t>
      </w:r>
    </w:p>
    <w:p>
      <w:r>
        <w:t>Anzufordern sind die vollständige BK-Akte, die Arbeitgeberanzeige, Stationsbelegungslisten in zulässiger anonymisierter Form, Materialausgaben der Station C4 und die ursprüngliche Befragung zum privaten Kontakt. Als Auskunftspersonen kommen Stationsleiterin Yvonne Pätzold, Pfleger Martin Rehbein und die damalige Hygienefachkraft Anne Grunert in Betracht. Vor einer Benennung sind Erinnerungsbild, eigene Wahrnehmung und genaue Schichttage getrennt zu protokollieren.</w:t>
      </w:r>
    </w:p>
    <w:p>
      <w:r>
        <w:t>Rechtlicher Arbeitsrahmen</w:t>
      </w:r>
    </w:p>
    <w:p>
      <w:r>
        <w:t>Zu prüfen sind der Vollbeweis der Erkrankung und der versicherten Tätigkeit sowie die hinreichende Wahrscheinlichkeit des Ursachenzusammenhangs nach Paragraf 9 SGB VII in Verbindung mit Nummer 3101 der Anlage 1 zur BKV. Der Widerspruch darf die Kausalität der Infektion und die medizinische Zuordnung der Folgeschäden nicht vermengen. Für jede Stufe ist anzugeben, welche Tatsache durch welches Aktenstück belegt werden soll.</w:t>
      </w:r>
    </w:p>
    <w:p>
      <w:r>
        <w:t>Nächste Arbeitsschritte</w:t>
      </w:r>
    </w:p>
    <w:p>
      <w:r>
        <w:t>Fristwahrender Widerspruch, vollständige Akteneinsicht und Sicherung der Dienstplandaten sind sofort zu veranlassen. Die medizinische Begründung wird erst nach Abgleich der Originalbefunde ergänzt. Im Mandantengespräch ist der Familienkontakt ohne Vorhalt erneut offen zu erfragen; eine vorschnelle Festlegung würde die spätere Beweiswürdigung erschweren.</w:t>
      </w:r>
    </w:p>
    <w:p>
      <w:r>
        <w:rPr>
          <w:b/>
        </w:rPr>
        <w:t>Anlagenbezug: Bescheid 04a, Dienstplanauszug 03, Befundberichte 15a und 16a.</w:t>
      </w:r>
    </w:p>
    <w:p/>
    <w:p>
      <w:r>
        <w:rPr>
          <w:rFonts w:ascii="Arial" w:hAnsi="Arial"/>
          <w:b/>
          <w:sz w:val="20"/>
        </w:rPr>
        <w:t>Marit Sonnemann</w:t>
        <w:br/>
      </w:r>
      <w:r>
        <w:rPr>
          <w:rFonts w:ascii="Arial" w:hAnsi="Arial"/>
          <w:sz w:val="20"/>
        </w:rPr>
        <w:t>Rechtsanwältin · Fachanwältin für Sozialrecht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04b_kanzleivermerk_bgw_bescheid_bk3101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6B3E26"/>
        <w:sz w:val="20"/>
      </w:rPr>
      <w:t>Kanzlei Sonnemann Sozialrecht</w:t>
    </w:r>
  </w:p>
  <w:p>
    <w:pPr>
      <w:spacing w:after="0"/>
      <w:pBdr>
        <w:bottom w:val="single" w:sz="8" w:space="3" w:color="6B3E26"/>
      </w:pBdr>
    </w:pPr>
    <w:r>
      <w:rPr>
        <w:rFonts w:ascii="Arial" w:hAnsi="Arial"/>
        <w:sz w:val="16"/>
      </w:rPr>
      <w:t>Karl-Liebknecht-Straße 14, 04107 Leipzig | Telefon 0341 2647-310 | Akte SF 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B3E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B3E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6B3E2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Prüfvermerk zum BGW-Bescheid vom 28. Januar 2026</dc:title>
  <dc:subject/>
  <dc:creator>Kanzlei Sonnemann Sozialrecht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