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Pr>
      <w:tblGrid>
        <w:gridCol w:w="4762"/>
        <w:gridCol w:w="4762"/>
      </w:tblGrid>
      <w:tr>
        <w:tc>
          <w:tcPr>
            <w:tcW w:type="dxa" w:w="1984"/>
            <w:vAlign w:val="center"/>
          </w:tcPr>
          <w:p>
            <w:r>
              <w:rPr>
                <w:rFonts w:ascii="Arial" w:hAnsi="Arial"/>
                <w:b/>
                <w:sz w:val="17"/>
              </w:rPr>
              <w:t>Bescheid</w:t>
            </w:r>
          </w:p>
        </w:tc>
        <w:tc>
          <w:tcPr>
            <w:tcW w:type="dxa" w:w="3402"/>
            <w:vAlign w:val="center"/>
          </w:tcPr>
          <w:p>
            <w:r>
              <w:rPr>
                <w:rFonts w:ascii="Arial" w:hAnsi="Arial"/>
                <w:sz w:val="17"/>
              </w:rPr>
              <w:t>14. Februar 2026</w:t>
            </w:r>
          </w:p>
        </w:tc>
      </w:tr>
      <w:tr>
        <w:tc>
          <w:tcPr>
            <w:tcW w:type="dxa" w:w="1984"/>
            <w:vAlign w:val="center"/>
          </w:tcPr>
          <w:p>
            <w:r>
              <w:rPr>
                <w:rFonts w:ascii="Arial" w:hAnsi="Arial"/>
                <w:b/>
                <w:sz w:val="17"/>
              </w:rPr>
              <w:t>Posteingang Kanzlei</w:t>
            </w:r>
          </w:p>
        </w:tc>
        <w:tc>
          <w:tcPr>
            <w:tcW w:type="dxa" w:w="3402"/>
            <w:vAlign w:val="center"/>
          </w:tcPr>
          <w:p>
            <w:r>
              <w:rPr>
                <w:rFonts w:ascii="Arial" w:hAnsi="Arial"/>
                <w:sz w:val="17"/>
              </w:rPr>
              <w:t>17. Februar 2026, 09:12 Uhr</w:t>
            </w:r>
          </w:p>
        </w:tc>
      </w:tr>
      <w:tr>
        <w:tc>
          <w:tcPr>
            <w:tcW w:type="dxa" w:w="1984"/>
            <w:vAlign w:val="center"/>
          </w:tcPr>
          <w:p>
            <w:r>
              <w:rPr>
                <w:rFonts w:ascii="Arial" w:hAnsi="Arial"/>
                <w:b/>
                <w:sz w:val="17"/>
              </w:rPr>
              <w:t>Bearbeitung</w:t>
            </w:r>
          </w:p>
        </w:tc>
        <w:tc>
          <w:tcPr>
            <w:tcW w:type="dxa" w:w="3402"/>
            <w:vAlign w:val="center"/>
          </w:tcPr>
          <w:p>
            <w:r>
              <w:rPr>
                <w:rFonts w:ascii="Arial" w:hAnsi="Arial"/>
                <w:sz w:val="17"/>
              </w:rPr>
              <w:t>Rechtsanwalt Marit Sonnemann</w:t>
            </w:r>
          </w:p>
        </w:tc>
      </w:tr>
      <w:tr>
        <w:tc>
          <w:tcPr>
            <w:tcW w:type="dxa" w:w="1984"/>
            <w:vAlign w:val="center"/>
          </w:tcPr>
          <w:p>
            <w:r>
              <w:rPr>
                <w:rFonts w:ascii="Arial" w:hAnsi="Arial"/>
                <w:b/>
                <w:sz w:val="17"/>
              </w:rPr>
              <w:t>Fristkontrolle</w:t>
            </w:r>
          </w:p>
        </w:tc>
        <w:tc>
          <w:tcPr>
            <w:tcW w:type="dxa" w:w="3402"/>
            <w:vAlign w:val="center"/>
          </w:tcPr>
          <w:p>
            <w:r>
              <w:rPr>
                <w:rFonts w:ascii="Arial" w:hAnsi="Arial"/>
                <w:sz w:val="17"/>
              </w:rPr>
              <w:t>Widerspruch vorläufig 16. März 2026</w:t>
            </w:r>
          </w:p>
        </w:tc>
      </w:tr>
    </w:tbl>
    <w:p/>
    <w:p>
      <w:pPr>
        <w:pStyle w:val="Title"/>
      </w:pPr>
      <w:r>
        <w:t>Prüfvermerk zum Bescheid der Rentenversicherung</w:t>
      </w:r>
    </w:p>
    <w:p>
      <w:r>
        <w:t>Dokumentenstand</w:t>
      </w:r>
    </w:p>
    <w:p>
      <w:r>
        <w:t>Der Bescheid liegt vollständig vor. Das Gutachten Dr. Härtung und die dem Gutachter überlassenen Verwaltungsakten fehlen. Der Zugang bei der Mandantin ist anhand des Umschlags noch festzustellen. Fristwahrender Widerspruch und Akteneinsicht sind daher getrennt vom späteren medizinischen Vortrag zu veranlassen.</w:t>
      </w:r>
    </w:p>
    <w:p>
      <w:r>
        <w:t>Offene Tatsachen</w:t>
      </w:r>
    </w:p>
    <w:p>
      <w:r>
        <w:t>Die entscheidende Differenz betrifft nicht allein die Diagnosebezeichnung, sondern die zeitliche Verlässlichkeit des Leistungsvermögens. Zu klären sind Häufigkeit, Dauer und Auslöser der Belastungsverschlechterungen, notwendige Ruhezeiten, Wegefähigkeit, Konzentrationsabbrüche und die Reproduzierbarkeit guter Tage. Das vorhandene PEM-Tagebuch enthält hierfür Anknüpfungstatsachen, ersetzt aber keine ärztliche Funktionsbeschreibung.</w:t>
      </w:r>
    </w:p>
    <w:p>
      <w:r>
        <w:t>Aktenprüfung</w:t>
      </w:r>
    </w:p>
    <w:p>
      <w:r>
        <w:t>Nach Eingang der Verwaltungsakte ist zu prüfen, ob der Gutachter die Berichte vollständig erhalten hat, welche Untersuchungen tatsächlich durchgeführt wurden und wie er die abweichenden Befunde gewichtet. Besonders zu sichern sind Rohwerte des Kipptischtests, Medikamentenplan, Aktivitätsdaten und die Entlassungsberichte. Diagnosen und funktionelle Auswirkungen sind in der Begründung strikt zu trennen.</w:t>
      </w:r>
    </w:p>
    <w:p>
      <w:r>
        <w:t>Arbeitsauftrag Medizin</w:t>
      </w:r>
    </w:p>
    <w:p>
      <w:r>
        <w:t>Die behandelnden Ärzte sollen keine Rechtsbegriffe bestätigen, sondern konkrete Belastungsgrenzen beschreiben: mögliche Sitzdauer, erforderliche Liegepausen, Gehstrecke, kognitive Belastungszeit, Erholungsdauer nach Aktivität und Schwankungsbreite innerhalb einer Arbeitswoche. Für jede Aussage sind Untersuchungsdatum und Befundgrundlage anzugeben.</w:t>
      </w:r>
    </w:p>
    <w:p>
      <w:r>
        <w:t>Verfahrensschritte</w:t>
      </w:r>
    </w:p>
    <w:p>
      <w:r>
        <w:t>Widerspruch einlegen, vollständige Akteneinsicht einschließlich Gutachten und Prüfvermerken verlangen, anschließend Befundmatrix erstellen und nur nach dokumentiertem Widerspruch zwischen Befund und Leistungsbild ergänzend vortragen. Eine abschließende Erfolgsaussage ist vor Akteneinsicht nicht möglich.</w:t>
      </w:r>
    </w:p>
    <w:p/>
    <w:p>
      <w:r>
        <w:rPr>
          <w:rFonts w:ascii="Arial" w:hAnsi="Arial"/>
          <w:b/>
          <w:sz w:val="20"/>
        </w:rPr>
        <w:t>Marit Sonnemann</w:t>
        <w:br/>
      </w:r>
      <w:r>
        <w:rPr>
          <w:rFonts w:ascii="Arial" w:hAnsi="Arial"/>
          <w:sz w:val="20"/>
        </w:rPr>
        <w:t>Rechtsanwältin · Fachanwältin für Sozialrecht</w:t>
      </w:r>
    </w:p>
    <w:sectPr w:rsidR="00FC693F" w:rsidRPr="0006063C" w:rsidSect="00034616">
      <w:headerReference w:type="default" r:id="rId9"/>
      <w:footerReference w:type="default" r:id="rId10"/>
      <w:pgSz w:w="11906" w:h="16838"/>
      <w:pgMar w:top="1134"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4"/>
      </w:rPr>
      <w:t xml:space="preserve">06b_kanzleivermerk_drv_bescheid_erwerbsminderung | </w:t>
    </w:r>
    <w:r>
      <w:rPr>
        <w:rFonts w:ascii="Arial" w:hAnsi="Arial"/>
        <w:sz w:val="14"/>
      </w:rPr>
      <w:t xml:space="preserve">Seite </w:t>
    </w:r>
    <w:r>
      <w:rPr>
        <w:rFonts w:ascii="Arial" w:hAnsi="Arial"/>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b/>
        <w:color w:val="6B3E26"/>
        <w:sz w:val="20"/>
      </w:rPr>
      <w:t>Kanzlei Sonnemann Sozialrecht</w:t>
    </w:r>
  </w:p>
  <w:p>
    <w:pPr>
      <w:spacing w:after="0"/>
      <w:pBdr>
        <w:bottom w:val="single" w:sz="8" w:space="3" w:color="6B3E26"/>
      </w:pBdr>
    </w:pPr>
    <w:r>
      <w:rPr>
        <w:rFonts w:ascii="Arial" w:hAnsi="Arial"/>
        <w:sz w:val="16"/>
      </w:rPr>
      <w:t>Karl-Liebknecht-Straße 14, 04107 Leipzig | Telefon 0341 2647-310 | Akte SF 18/26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6B3E26"/>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6B3E2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6B3E26"/>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Prüfvermerk zum Bescheid der Rentenversicherung</dc:title>
  <dc:subject/>
  <dc:creator>Kanzlei Sonnemann Sozialrecht</dc:creator>
  <cp:keywords/>
  <dc:description>generated by python-docx</dc:description>
  <cp:lastModifiedBy/>
  <cp:revision>1</cp:revision>
  <dcterms:created xsi:type="dcterms:W3CDTF">2013-12-23T23:15:00Z</dcterms:created>
  <dcterms:modified xsi:type="dcterms:W3CDTF">2013-12-23T23:15:00Z</dcterms:modified>
  <cp:category/>
</cp:coreProperties>
</file>