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 Erwerbsminderungsrente – DRV Mitteldeutschland</w:t>
      </w:r>
    </w:p>
    <w:p>
      <w:pPr>
        <w:jc w:val="left"/>
      </w:pPr>
      <w:r>
        <w:rPr>
          <w:b/>
        </w:rPr>
        <w:t>[ENTWURF – SCHRIFTSATZ]</w:t>
      </w:r>
    </w:p>
    <w:p>
      <w:pPr>
        <w:spacing w:before="0" w:after="0" w:line="80" w:lineRule="exact"/>
      </w:pPr>
    </w:p>
    <w:p>
      <w:pPr>
        <w:jc w:val="left"/>
      </w:pPr>
      <w:r>
        <w:t>Kanzlei Sonnemann Sozialrecht Leipzig</w:t>
      </w:r>
    </w:p>
    <w:p>
      <w:pPr>
        <w:jc w:val="left"/>
      </w:pPr>
      <w:r>
        <w:t>Rechtsanwältin Marit Sonnemann</w:t>
      </w:r>
    </w:p>
    <w:p>
      <w:pPr>
        <w:jc w:val="left"/>
      </w:pPr>
      <w:r>
        <w:t>Fachanwältin für Sozialrecht</w:t>
      </w:r>
    </w:p>
    <w:p>
      <w:pPr>
        <w:jc w:val="left"/>
      </w:pPr>
      <w:r>
        <w:t>Karl-Liebknecht-Straße 14</w:t>
      </w:r>
    </w:p>
    <w:p>
      <w:pPr>
        <w:jc w:val="left"/>
      </w:pPr>
      <w:r>
        <w:t>04107 Leipzig</w:t>
      </w:r>
    </w:p>
    <w:p>
      <w:pPr>
        <w:jc w:val="left"/>
      </w:pPr>
      <w:r>
        <w:t>Tel.: 0341 / 58 82 100</w:t>
      </w:r>
    </w:p>
    <w:p>
      <w:pPr>
        <w:jc w:val="left"/>
      </w:pPr>
      <w:r>
        <w:t>Fax: 0341 / 58 82 101</w:t>
      </w:r>
    </w:p>
    <w:p>
      <w:pPr>
        <w:spacing w:before="0" w:after="0" w:line="80" w:lineRule="exact"/>
      </w:pPr>
    </w:p>
    <w:p>
      <w:pPr>
        <w:jc w:val="left"/>
      </w:pPr>
      <w:r>
        <w:rPr>
          <w:b/>
        </w:rPr>
        <w:t>An die</w:t>
      </w:r>
    </w:p>
    <w:p>
      <w:pPr>
        <w:jc w:val="left"/>
      </w:pPr>
      <w:r>
        <w:t>Deutsche Rentenversicherung Mitteldeutschland</w:t>
      </w:r>
    </w:p>
    <w:p>
      <w:pPr>
        <w:jc w:val="left"/>
      </w:pPr>
      <w:r>
        <w:t>Georg-Schumann-Straße 146</w:t>
      </w:r>
    </w:p>
    <w:p>
      <w:pPr>
        <w:jc w:val="left"/>
      </w:pPr>
      <w:r>
        <w:t>04155 Leipzig</w:t>
      </w:r>
    </w:p>
    <w:p>
      <w:pPr>
        <w:jc w:val="left"/>
      </w:pPr>
      <w:r>
        <w:t>Leipzig, den 12.03.2026</w:t>
      </w:r>
    </w:p>
    <w:p>
      <w:pPr>
        <w:spacing w:before="0" w:after="0" w:line="80" w:lineRule="exact"/>
      </w:pPr>
    </w:p>
    <w:p>
      <w:pPr>
        <w:jc w:val="left"/>
      </w:pPr>
      <w:r>
        <w:rPr>
          <w:b/>
        </w:rPr>
        <w:t>Aktenzeichen DRV:</w:t>
      </w:r>
      <w:r>
        <w:t xml:space="preserve"> xx 060379 41 W 077</w:t>
      </w:r>
    </w:p>
    <w:p>
      <w:pPr>
        <w:jc w:val="left"/>
      </w:pPr>
      <w:r>
        <w:rPr>
          <w:b/>
        </w:rPr>
        <w:t>Versicherungsnummer:</w:t>
      </w:r>
      <w:r>
        <w:t xml:space="preserve"> 41 060379 V 084</w:t>
      </w:r>
    </w:p>
    <w:p>
      <w:pPr>
        <w:jc w:val="left"/>
      </w:pPr>
      <w:r>
        <w:rPr>
          <w:b/>
        </w:rPr>
        <w:t>Mandantin:</w:t>
      </w:r>
      <w:r>
        <w:t xml:space="preserve"> Vivian Feldermann, geb. 03.09.1984, Bornaische Straße 78, 04277 Leipzig</w:t>
      </w:r>
    </w:p>
    <w:p>
      <w:pPr>
        <w:spacing w:before="0" w:after="0" w:line="80" w:lineRule="exact"/>
      </w:pPr>
    </w:p>
    <w:p>
      <w:pPr>
        <w:pStyle w:val="Heading2"/>
      </w:pPr>
      <w:r>
        <w:rPr>
          <w:rFonts w:ascii="Times New Roman" w:hAnsi="Times New Roman"/>
        </w:rPr>
        <w:t>Widerspruch</w:t>
      </w:r>
    </w:p>
    <w:p>
      <w:pPr>
        <w:jc w:val="left"/>
      </w:pPr>
      <w:r>
        <w:t xml:space="preserve">gegen den Bescheid der Deutschen Rentenversicherung Mitteldeutschland vom </w:t>
      </w:r>
      <w:r>
        <w:rPr>
          <w:b/>
        </w:rPr>
        <w:t>14.02.2026</w:t>
      </w:r>
      <w:r>
        <w:t xml:space="preserve"> (Aktenzeichen xx 060379 41 W 077)</w:t>
      </w:r>
    </w:p>
    <w:p>
      <w:pPr>
        <w:spacing w:before="0" w:after="0" w:line="80" w:lineRule="exact"/>
      </w:pPr>
    </w:p>
    <w:p>
      <w:pPr>
        <w:jc w:val="left"/>
      </w:pPr>
      <w:r>
        <w:t>Sehr geehrte Damen und Herren,</w:t>
      </w:r>
    </w:p>
    <w:p>
      <w:pPr>
        <w:jc w:val="left"/>
      </w:pPr>
      <w:r>
        <w:t xml:space="preserve">in Vollmacht meiner Mandantin, Frau Vivian Feldermann, erhebe ich gegen den Bescheid vom 14.02.2026, mit dem die Deutsche Rentenversicherung Mitteldeutschland den Antrag auf Rente wegen Erwerbsminderung abgelehnt hat, fristgemäß </w:t>
      </w:r>
      <w:r>
        <w:rPr>
          <w:b/>
        </w:rPr>
        <w:t>Widerspruch</w:t>
      </w:r>
      <w:r>
        <w:t xml:space="preserve"> und beantrage,</w:t>
      </w:r>
    </w:p>
    <w:p>
      <w:pPr>
        <w:jc w:val="left"/>
      </w:pPr>
      <w:r>
        <w:rPr>
          <w:b/>
        </w:rPr>
        <w:t>den Bescheid vom 14.02.2026 aufzuheben und meiner Mandantin rückwirkend ab dem 01.02.2024 (Antragstellung) eine Rente wegen voller Erwerbsminderung gemäß Paragraf 43 Abs. 2 SGB VI zu bewilligen.</w:t>
      </w:r>
    </w:p>
    <w:p>
      <w:pPr>
        <w:jc w:val="left"/>
      </w:pPr>
      <w:r>
        <w:t>Hilfsweise beantrage ich die Bewilligung einer Rente wegen teilweiser Erwerbsminderung.</w:t>
      </w:r>
    </w:p>
    <w:p>
      <w:pPr>
        <w:jc w:val="left"/>
      </w:pPr>
      <w:r>
        <w:t>Weiter beantrage ich:</w:t>
      </w:r>
    </w:p>
    <w:p>
      <w:pPr>
        <w:pStyle w:val="ListNumber"/>
      </w:pPr>
      <w:r>
        <w:t>Akteneinsicht in die vollständige Rentenakte einschließlich des Gutachtens Dr. Härtung sowie sämtlicher Stellungnahmen des ärztlichen Dienstes der DRV</w:t>
      </w:r>
    </w:p>
    <w:p>
      <w:pPr>
        <w:pStyle w:val="ListNumber"/>
      </w:pPr>
      <w:r>
        <w:t>Aussetzung des Bescheids bis zur abschließenden Entscheidung über den Widerspruch</w:t>
      </w:r>
    </w:p>
    <w:p>
      <w:pPr>
        <w:spacing w:before="0" w:after="0" w:line="80" w:lineRule="exact"/>
      </w:pPr>
    </w:p>
    <w:p>
      <w:pPr>
        <w:pStyle w:val="Heading2"/>
      </w:pPr>
      <w:r>
        <w:rPr>
          <w:rFonts w:ascii="Times New Roman" w:hAnsi="Times New Roman"/>
        </w:rPr>
        <w:t>Begründung</w:t>
      </w:r>
    </w:p>
    <w:p>
      <w:pPr>
        <w:pStyle w:val="Heading3"/>
      </w:pPr>
      <w:r>
        <w:rPr>
          <w:rFonts w:ascii="Times New Roman" w:hAnsi="Times New Roman"/>
        </w:rPr>
        <w:t>I. Sachverhalt</w:t>
      </w:r>
    </w:p>
    <w:p>
      <w:pPr>
        <w:jc w:val="left"/>
      </w:pPr>
      <w:r>
        <w:t>Frau Vivian Feldermann, geb. am 03.09.1984, war bis November 2021 als Gesundheits- und Krankenpflegerin am Universitätsklinikum Leipzig (UKL) tätig. Im November 2021 erkrankte sie während eines beruflichen Einsatzes auf der Covid-Isolierstation schwer an SARS-CoV-2. Seitdem ist sie dauerhaft und vollständig arbeitsunfähig. Seit über vier Jahren leidet sie an einem schweren Post-Covid-Syndrom mit den Kernsymptomen:</w:t>
      </w:r>
    </w:p>
    <w:p>
      <w:pPr>
        <w:pStyle w:val="ListBullet"/>
      </w:pPr>
      <w:r>
        <w:rPr>
          <w:b/>
        </w:rPr>
        <w:t>Post-Exertional Malaise (PEM):</w:t>
      </w:r>
      <w:r>
        <w:t xml:space="preserve"> Selbst minimale körperliche oder kognitive Anstrengung führt zu einer mehrtägigen, teils wochenlangen Verschlechterung des Zustands ("Crash"). Frau Feldermann ist an 4–5 von 7 Wochentagen vollständig bettlägerig oder ans Sofa gebunden.</w:t>
      </w:r>
    </w:p>
    <w:p>
      <w:pPr>
        <w:pStyle w:val="ListBullet"/>
      </w:pPr>
      <w:r>
        <w:rPr>
          <w:b/>
        </w:rPr>
        <w:t>Schwere chronische Fatigue:</w:t>
      </w:r>
      <w:r>
        <w:t xml:space="preserve"> Auch nach ausreichend Schlaf kein Erholungseffekt; persistierender Erschöpfungszustand, unabhängig von Aktivitätsniveau.</w:t>
      </w:r>
    </w:p>
    <w:p>
      <w:pPr>
        <w:pStyle w:val="ListBullet"/>
      </w:pPr>
      <w:r>
        <w:rPr>
          <w:b/>
        </w:rPr>
        <w:t>Kognitive Dysfunktion (brain fog):</w:t>
      </w:r>
      <w:r>
        <w:t xml:space="preserve"> Schwere Störungen der Konzentration, des Arbeitsgedächtnisses und der Verarbeitungsgeschwindigkeit (neuropsychologisch objektiviert, UKL 2022).</w:t>
      </w:r>
    </w:p>
    <w:p>
      <w:pPr>
        <w:pStyle w:val="ListBullet"/>
      </w:pPr>
      <w:r>
        <w:rPr>
          <w:b/>
        </w:rPr>
        <w:t>Kardiale Dysautonomie (POTS):</w:t>
      </w:r>
      <w:r>
        <w:t xml:space="preserve"> Positiver Kipptisch-Test (Protokoll UKL Kardiologie, April 2022); Herzrasen, Schwindel und Synkopen beim Aufrichten.</w:t>
      </w:r>
    </w:p>
    <w:p>
      <w:pPr>
        <w:pStyle w:val="ListBullet"/>
      </w:pPr>
      <w:r>
        <w:rPr>
          <w:b/>
        </w:rPr>
        <w:t>Psychiatrische Komorbidität:</w:t>
      </w:r>
      <w:r>
        <w:t xml:space="preserve"> Rezidivierende depressive Störung, mittelgradige Episode (F33.1), stationäre Behandlung Klinikum am Auenwald Leipzig 09–11/2024.</w:t>
      </w:r>
    </w:p>
    <w:p>
      <w:pPr>
        <w:pStyle w:val="Heading3"/>
      </w:pPr>
      <w:r>
        <w:rPr>
          <w:rFonts w:ascii="Times New Roman" w:hAnsi="Times New Roman"/>
        </w:rPr>
        <w:t>II. Fehlerhafte medizinische Grundlage des Bescheids</w:t>
      </w:r>
    </w:p>
    <w:p>
      <w:pPr>
        <w:jc w:val="left"/>
      </w:pPr>
      <w:r>
        <w:t>Der angegriffene Bescheid stützt sich ausschließlich auf das Gutachten des Dr. med. Volker Härtung vom November 2025. Dieses Gutachten ist in mehrfacher Hinsicht fehlerhaft und für die Entscheidung nicht tragfähig.</w:t>
      </w:r>
    </w:p>
    <w:p>
      <w:pPr>
        <w:pStyle w:val="Heading3"/>
      </w:pPr>
      <w:r>
        <w:rPr>
          <w:rFonts w:ascii="Times New Roman" w:hAnsi="Times New Roman"/>
        </w:rPr>
        <w:t>1. Falschdiagnose Anpassungsstörung (F43.2)</w:t>
      </w:r>
    </w:p>
    <w:p>
      <w:pPr>
        <w:jc w:val="left"/>
      </w:pPr>
      <w:r>
        <w:t>Dr. Härtung stellt als Hauptdiagnose eine Anpassungsstörung (F43.2) fest. Nach den diagnostischen Kriterien des ICD-10 (Kap. F43.2) setzt eine Anpassungsstörung voraus:</w:t>
      </w:r>
    </w:p>
    <w:p>
      <w:pPr>
        <w:jc w:val="left"/>
      </w:pPr>
      <w:r>
        <w:t>a) Identifizierbarer psychosozialer Belastungsfaktor</w:t>
      </w:r>
    </w:p>
    <w:p>
      <w:pPr>
        <w:jc w:val="left"/>
      </w:pPr>
      <w:r>
        <w:t>b) Symptombeginn innerhalb von einem Monat nach dem Stressor</w:t>
      </w:r>
    </w:p>
    <w:p>
      <w:pPr>
        <w:jc w:val="left"/>
      </w:pPr>
      <w:r>
        <w:t>c) Dauer der Störung üblicherweise nicht länger als 6 Monate nach Ende der Belastung</w:t>
      </w:r>
    </w:p>
    <w:p>
      <w:pPr>
        <w:jc w:val="left"/>
      </w:pPr>
      <w:r>
        <w:t xml:space="preserve">Bei meiner Mandantin bestehen die Symptome seit November 2021 — also über </w:t>
      </w:r>
      <w:r>
        <w:rPr>
          <w:b/>
        </w:rPr>
        <w:t>vier Jahre</w:t>
      </w:r>
      <w:r>
        <w:t xml:space="preserve"> — unverändert fort. Der COVID-19-"Stressor" liegt noch länger zurück. Eine Anpassungsstörung ist nach den eigenen Kriterien dieser Diagnose ausgeschlossen.</w:t>
      </w:r>
    </w:p>
    <w:p>
      <w:pPr>
        <w:jc w:val="left"/>
      </w:pPr>
      <w:r>
        <w:t xml:space="preserve">Das Sächsische Krankenhaus für Psychiatrie (Klinikum am Auenwald Leipzig) hat nach stationärer Behandlung als Entlassungsdiagnose </w:t>
      </w:r>
      <w:r>
        <w:rPr>
          <w:b/>
        </w:rPr>
        <w:t>F33.1</w:t>
      </w:r>
      <w:r>
        <w:t xml:space="preserve"> (rezidivierende depressive Störung, mittelgradige Episode) gestellt — eine wesentlich schwerwiegendere Diagnose. Dr. Härtung setzt sich mit dieser Fachmeinung einer spezialisierten psychiatrischen Einrichtung nicht auseinander.</w:t>
      </w:r>
    </w:p>
    <w:p>
      <w:pPr>
        <w:pStyle w:val="Heading3"/>
      </w:pPr>
      <w:r>
        <w:rPr>
          <w:rFonts w:ascii="Times New Roman" w:hAnsi="Times New Roman"/>
        </w:rPr>
        <w:t>2. Übergehen der ME/CFS-Diagnose</w:t>
      </w:r>
    </w:p>
    <w:p>
      <w:pPr>
        <w:jc w:val="left"/>
      </w:pPr>
      <w:r>
        <w:t xml:space="preserve">Die Universitätsmedizin Berlin-Nord Berlin, Fatigue-Centrum (Prof. Dr. Maja Seifert), hat nach eingehender Diagnostik die Diagnose </w:t>
      </w:r>
      <w:r>
        <w:rPr>
          <w:b/>
        </w:rPr>
        <w:t>Myalgische Enzephalomyelitis/Chronisches Erschöpfungssyndrom (ME/CFS, G93.3)</w:t>
      </w:r>
      <w:r>
        <w:t xml:space="preserve"> nach den </w:t>
      </w:r>
      <w:r>
        <w:rPr>
          <w:b/>
        </w:rPr>
        <w:t>Canadian Consensus Criteria (CCC)</w:t>
      </w:r>
      <w:r>
        <w:t xml:space="preserve"> gestellt. Für die Erfüllung der CCC müssen alle der folgenden Bereiche zutreffen: Fatigue, Post-Exertional Malaise, Schlafstörungen, Schmerz und mindestens zwei neurologische/kognitive Manifestationen. Diese Kriterien sind bei Frau Feldermann vollständig erfüllt.</w:t>
      </w:r>
    </w:p>
    <w:p>
      <w:pPr>
        <w:jc w:val="left"/>
      </w:pPr>
      <w:r>
        <w:t xml:space="preserve">ME/CFS ist als eigenständige Erkrankung international anerkannt. Das </w:t>
      </w:r>
      <w:r>
        <w:rPr>
          <w:b/>
        </w:rPr>
        <w:t>Bundesministerium für Gesundheit</w:t>
      </w:r>
      <w:r>
        <w:t xml:space="preserve"> hat 2023 erstmals ME/CFS-Leitlinien gefördert. Die </w:t>
      </w:r>
      <w:r>
        <w:rPr>
          <w:b/>
        </w:rPr>
        <w:t>S3-Leitlinie Post-COVID/Long-COVID</w:t>
      </w:r>
      <w:r>
        <w:t xml:space="preserve"> (AWMF 020-027, Dezember 2023) erkennt Post-Covid/ME/CFS als eigenständiges Krankheitsbild mit erheblicher Einschränkung der Leistungsfähigkeit an.</w:t>
      </w:r>
    </w:p>
    <w:p>
      <w:pPr>
        <w:jc w:val="left"/>
      </w:pPr>
      <w:r>
        <w:t>Dr. Härtung bezeichnet die ME/CFS-Diagnose als "nicht valide gesichert", ohne dies methodisch zu begründen und ohne auf die CCC-Kriterien einzugehen. Diese pauschale Ablehnung entspricht nicht dem medizinischen Standard und ist nicht gerichtsfest.</w:t>
      </w:r>
    </w:p>
    <w:p>
      <w:pPr>
        <w:pStyle w:val="Heading3"/>
      </w:pPr>
      <w:r>
        <w:rPr>
          <w:rFonts w:ascii="Times New Roman" w:hAnsi="Times New Roman"/>
        </w:rPr>
        <w:t>3. POTS (kardiale Dysautonomie) nicht berücksichtigt</w:t>
      </w:r>
    </w:p>
    <w:p>
      <w:pPr>
        <w:jc w:val="left"/>
      </w:pPr>
      <w:r>
        <w:t>Das Gutachten Dr. Härtung erwähnt die objektivierte POTS-Diagnose nicht. POTS ist eine messbare, körperliche Erkrankung mit nachweislich einschränkender Wirkung: orthostatische Tachykardie, Synkopen, eingeschränkte Belastbarkeit im Stehen und Sitzen. Der positive Kipptisch-Test (Anstieg der Herzfrequenz &gt;30 bpm innerhalb von 10 Minuten im Kippen) ist ein valider Befund und kann nicht ignoriert werden.</w:t>
      </w:r>
    </w:p>
    <w:p>
      <w:pPr>
        <w:pStyle w:val="Heading3"/>
      </w:pPr>
      <w:r>
        <w:rPr>
          <w:rFonts w:ascii="Times New Roman" w:hAnsi="Times New Roman"/>
        </w:rPr>
        <w:t>4. Post-Exertional Malaise (PEM) – Kernmerkmal nicht bewertet</w:t>
      </w:r>
    </w:p>
    <w:p>
      <w:pPr>
        <w:jc w:val="left"/>
      </w:pPr>
      <w:r>
        <w:t>Das Gutachten enthält keine Auseinandersetzung mit dem Phänomen der Post-Exertional Malaise (PEM), dem Kernsymptom von ME/CFS. PEM bedeutet, dass jegliche körperliche oder kognitive Aktivität über das individuelle Belastungsniveau hinaus zu einer mehrtägigen Zustandsverschlechterung führt.</w:t>
      </w:r>
    </w:p>
    <w:p>
      <w:pPr>
        <w:jc w:val="left"/>
      </w:pPr>
      <w:r>
        <w:t>Dies hat für die Leistungsfähigkeitsbeurteilung eine entscheidende Bedeutung: Auch wenn Frau Feldermann an sogenannten "guten Tagen" für wenige Stunden tätig sein könnte, führt dies unweigerlich zu einem "Crash", der weitere Tage der vollständigen Arbeitsunfähigkeit nach sich zieht. Eine verlässliche, reproduzierbare Arbeitsleistung — wie sie der allgemeine Arbeitsmarkt voraussetzt (BSG, Urt. v. 14.09.1995, B 5 RJ 90/93 R) — ist daher ausgeschlossen. Die Sechs-Stunden-Grenze ist bei ME/CFS mit schwerem PEM selbst dann nicht erreichbar, wenn gelegentlich Leistungsspitzen vorkommen.</w:t>
      </w:r>
    </w:p>
    <w:p>
      <w:pPr>
        <w:pStyle w:val="Heading3"/>
      </w:pPr>
      <w:r>
        <w:rPr>
          <w:rFonts w:ascii="Times New Roman" w:hAnsi="Times New Roman"/>
        </w:rPr>
        <w:t>5. Begutachtungsmethodik</w:t>
      </w:r>
    </w:p>
    <w:p>
      <w:pPr>
        <w:jc w:val="left"/>
      </w:pPr>
      <w:r>
        <w:t>Das Gutachten Dr. Härtung beruht auf einer einmaligen ambulanten Begutachtung von ca. 90 Minuten Dauer im November 2025. Bei ME/CFS ist bekannt, dass Patientinnen und Patienten in Begutachtungssituationen Reserven mobilisieren können, die nicht ihr tatsächliches Alltagsleistungsniveau widerspiegeln. Eine valide Beurteilung der Leistungsfähigkeit erfordert bei ME/CFS einen Zwei-Tage-Belastungstest (2-Day-CPET), wie er an der Universitätsmedizin Berlin-Nord und anderen ME/CFS-Zentren eingesetzt wird, oder zumindest eine mehrzeitige Verlaufsbeobachtung.</w:t>
      </w:r>
    </w:p>
    <w:p>
      <w:pPr>
        <w:pStyle w:val="Heading3"/>
      </w:pPr>
      <w:r>
        <w:rPr>
          <w:rFonts w:ascii="Times New Roman" w:hAnsi="Times New Roman"/>
        </w:rPr>
        <w:t>III. Rechtliche Würdigung</w:t>
      </w:r>
    </w:p>
    <w:p>
      <w:pPr>
        <w:jc w:val="left"/>
      </w:pPr>
      <w:r>
        <w:t>Gemäß Paragraf 43 Abs. 2 SGB VI sind Versicherte voll erwerbsgemindert, wenn sie wegen Krankheit oder Behinderung auf nicht absehbare Zeit außerstande sind, unter den üblichen Bedingungen des allgemeinen Arbeitsmarktes mindestens drei Stunden täglich erwerbstätig zu sein.</w:t>
      </w:r>
    </w:p>
    <w:p>
      <w:pPr>
        <w:jc w:val="left"/>
      </w:pPr>
      <w:r>
        <w:t>Das BSG hat hierzu entschieden (BSG, Urt. v. 12.12.2011, B 13 R 21/10 R), dass eine verlässliche, wettbewerbsfähige Arbeitstätigkeit auf dem allgemeinen Arbeitsmarkt nicht gegeben ist, wenn die Leistungsfähigkeit so schwankend oder so begrenzt ist, dass kein Arbeitgeber die Versicherte einstellen würde. Dies ist bei schwerer ME/CFS mit Post-Exertional Malaise der Fall.</w:t>
      </w:r>
    </w:p>
    <w:p>
      <w:pPr>
        <w:jc w:val="left"/>
      </w:pPr>
      <w:r>
        <w:t>Die DRV hat kein unabhängiges, leitliniengerechtes Gegengutachten eingeholt, obwohl ein offensichtlicher Widerspruch zwischen dem Universitätsmedizin Berlin-Nord-Befund und dem DRV-Gutachten bestand. Dies verletzt den Amtsermittlungsgrundsatz (Paragraf 20 SGB X).</w:t>
      </w:r>
    </w:p>
    <w:p>
      <w:pPr>
        <w:pStyle w:val="Heading3"/>
      </w:pPr>
      <w:r>
        <w:rPr>
          <w:rFonts w:ascii="Times New Roman" w:hAnsi="Times New Roman"/>
        </w:rPr>
        <w:t>IV. Beweisangebote</w:t>
      </w:r>
    </w:p>
    <w:p>
      <w:pPr>
        <w:jc w:val="left"/>
      </w:pPr>
      <w:r>
        <w:t>Ich beantrage:</w:t>
      </w:r>
    </w:p>
    <w:p>
      <w:pPr>
        <w:pStyle w:val="ListNumber"/>
      </w:pPr>
      <w:r>
        <w:rPr>
          <w:b/>
        </w:rPr>
        <w:t>Akteneinsicht</w:t>
      </w:r>
      <w:r>
        <w:t xml:space="preserve"> in die vollständige Rentenakte (DRV), inkl. vollständiges Gutachten Dr. Härtung und alle internen medizinischen Stellungnahmen</w:t>
      </w:r>
    </w:p>
    <w:p>
      <w:pPr>
        <w:pStyle w:val="ListNumber"/>
      </w:pPr>
      <w:r>
        <w:rPr>
          <w:b/>
        </w:rPr>
        <w:t>Einholung eines Sachverständigengutachtens</w:t>
      </w:r>
      <w:r>
        <w:t xml:space="preserve"> durch einen unabhängigen Facharzt für Innere Medizin/Immunologie oder Neurologie mit Erfahrung in ME/CFS und Post-Covid</w:t>
      </w:r>
    </w:p>
    <w:p>
      <w:pPr>
        <w:pStyle w:val="ListNumber"/>
      </w:pPr>
      <w:r>
        <w:rPr>
          <w:b/>
        </w:rPr>
        <w:t>Beiziehung</w:t>
      </w:r>
      <w:r>
        <w:t xml:space="preserve"> folgender Befundberichte als Beweismittel:</w:t>
      </w:r>
    </w:p>
    <w:p>
      <w:pPr>
        <w:pStyle w:val="ListBullet"/>
      </w:pPr>
      <w:r>
        <w:t>Befundbericht Prof. Dr. Seifert, Universitätsmedizin Berlin-Nord Berlin, 11/2025 (liegt als Anlage bei)</w:t>
      </w:r>
    </w:p>
    <w:p>
      <w:pPr>
        <w:pStyle w:val="ListBullet"/>
      </w:pPr>
      <w:r>
        <w:t>Entlassungsbericht Klinikum am Auenwald Leipzig, Psychiatrie, 02/2026 (liegt als Anlage bei)</w:t>
      </w:r>
    </w:p>
    <w:p>
      <w:pPr>
        <w:pStyle w:val="ListBullet"/>
      </w:pPr>
      <w:r>
        <w:t>Befundbericht Dr. Märker, Hausarzt Leipzig, 01/2026 (liegt als Anlage bei)</w:t>
      </w:r>
    </w:p>
    <w:p>
      <w:pPr>
        <w:pStyle w:val="ListBullet"/>
      </w:pPr>
      <w:r>
        <w:t>Kardiologischer Befundbericht UKL (Kipptisch-Test), 04/2022</w:t>
      </w:r>
    </w:p>
    <w:p>
      <w:pPr>
        <w:pStyle w:val="ListBullet"/>
      </w:pPr>
      <w:r>
        <w:t>Neuropsychologischer Befundbericht UKL, 2022</w:t>
      </w:r>
    </w:p>
    <w:p>
      <w:pPr>
        <w:spacing w:before="0" w:after="0" w:line="80" w:lineRule="exact"/>
      </w:pPr>
    </w:p>
    <w:p>
      <w:pPr>
        <w:pStyle w:val="Heading2"/>
      </w:pPr>
      <w:r>
        <w:rPr>
          <w:rFonts w:ascii="Times New Roman" w:hAnsi="Times New Roman"/>
        </w:rPr>
        <w:t>Beweismittelverzeichnis (Anlagen)</w:t>
      </w:r>
    </w:p>
    <w:p>
      <w:pPr>
        <w:pStyle w:val="ListNumber"/>
      </w:pPr>
      <w:r>
        <w:t>Vollmacht RA Sonnemann</w:t>
      </w:r>
    </w:p>
    <w:p>
      <w:pPr>
        <w:pStyle w:val="ListNumber"/>
      </w:pPr>
      <w:r>
        <w:t>Befundbericht Prof. Dr. Seifert, Post-COVID-Ambulanz der Universitätsmedizin Berlin-Nord, 11/2025</w:t>
      </w:r>
    </w:p>
    <w:p>
      <w:pPr>
        <w:pStyle w:val="ListNumber"/>
      </w:pPr>
      <w:r>
        <w:t>Entlassungsbericht Klinikum am Auenwald Leipzig (Psychiatrie), 02/2026</w:t>
      </w:r>
    </w:p>
    <w:p>
      <w:pPr>
        <w:pStyle w:val="ListNumber"/>
      </w:pPr>
      <w:r>
        <w:t>Befundbericht Dr. Märker (Hausarzt), 01/2026</w:t>
      </w:r>
    </w:p>
    <w:p>
      <w:pPr>
        <w:pStyle w:val="ListNumber"/>
      </w:pPr>
      <w:r>
        <w:t>Auszug PEM-Tagebuch (Mandantin), 08–01/2026</w:t>
      </w:r>
    </w:p>
    <w:p>
      <w:pPr>
        <w:pStyle w:val="ListNumber"/>
      </w:pPr>
      <w:r>
        <w:t>Schichtpläne UKL November 2021 (berufliche Exposition)</w:t>
      </w:r>
    </w:p>
    <w:p>
      <w:pPr>
        <w:spacing w:before="0" w:after="0" w:line="80" w:lineRule="exact"/>
      </w:pPr>
    </w:p>
    <w:p>
      <w:pPr>
        <w:jc w:val="left"/>
      </w:pPr>
      <w:r>
        <w:t>Mit freundlichen Grüßen</w:t>
      </w:r>
    </w:p>
    <w:p>
      <w:pPr>
        <w:jc w:val="left"/>
      </w:pPr>
      <w:r>
        <w:rPr>
          <w:b/>
        </w:rPr>
        <w:t>Marit Sonnemann</w:t>
      </w:r>
    </w:p>
    <w:p>
      <w:pPr>
        <w:jc w:val="left"/>
      </w:pPr>
      <w:r>
        <w:t>Rechtsanwältin</w:t>
      </w:r>
    </w:p>
    <w:p>
      <w:pPr>
        <w:jc w:val="left"/>
      </w:pPr>
      <w:r>
        <w:t>Fachanwältin für Sozialrecht</w:t>
      </w:r>
    </w:p>
    <w:p>
      <w:pPr>
        <w:spacing w:before="0" w:after="0" w:line="80" w:lineRule="exact"/>
      </w:pPr>
    </w:p>
    <w:p>
      <w:pPr>
        <w:jc w:val="left"/>
      </w:pPr>
      <w:r>
        <w:rPr>
          <w:i/>
        </w:rPr>
        <w:t>Entwurf: RA Sonnemann, 12.03.2026</w:t>
      </w:r>
    </w:p>
    <w:p>
      <w:pPr>
        <w:jc w:val="left"/>
      </w:pPr>
      <w:r>
        <w:rPr>
          <w:i/>
        </w:rPr>
        <w:t>Kanzlei-AZ: SON-2026-0047-FEL</w:t>
      </w:r>
    </w:p>
    <w:sectPr w:rsidR="00FC693F" w:rsidRPr="0006063C" w:rsidSect="00034616">
      <w:pgSz w:w="11906" w:h="16838"/>
      <w:pgMar w:top="1020" w:right="1417" w:bottom="907" w:left="141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