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Vivian Feldermann</w:t>
            </w:r>
          </w:p>
        </w:tc>
      </w:tr>
      <w:tr>
        <w:tc>
          <w:tcPr>
            <w:tcW w:type="dxa" w:w="1984"/>
            <w:vAlign w:val="center"/>
          </w:tcPr>
          <w:p>
            <w:r>
              <w:rPr>
                <w:rFonts w:ascii="Arial" w:hAnsi="Arial"/>
                <w:b/>
                <w:sz w:val="17"/>
              </w:rPr>
              <w:t>Bescheid</w:t>
            </w:r>
          </w:p>
        </w:tc>
        <w:tc>
          <w:tcPr>
            <w:tcW w:type="dxa" w:w="3402"/>
            <w:vAlign w:val="center"/>
          </w:tcPr>
          <w:p>
            <w:r>
              <w:rPr>
                <w:rFonts w:ascii="Arial" w:hAnsi="Arial"/>
                <w:sz w:val="17"/>
              </w:rPr>
              <w:t>19. September 2023</w:t>
            </w:r>
          </w:p>
        </w:tc>
      </w:tr>
      <w:tr>
        <w:tc>
          <w:tcPr>
            <w:tcW w:type="dxa" w:w="1984"/>
            <w:vAlign w:val="center"/>
          </w:tcPr>
          <w:p>
            <w:r>
              <w:rPr>
                <w:rFonts w:ascii="Arial" w:hAnsi="Arial"/>
                <w:b/>
                <w:sz w:val="17"/>
              </w:rPr>
              <w:t>Widerspruch</w:t>
            </w:r>
          </w:p>
        </w:tc>
        <w:tc>
          <w:tcPr>
            <w:tcW w:type="dxa" w:w="3402"/>
            <w:vAlign w:val="center"/>
          </w:tcPr>
          <w:p>
            <w:r>
              <w:rPr>
                <w:rFonts w:ascii="Arial" w:hAnsi="Arial"/>
                <w:sz w:val="17"/>
              </w:rPr>
              <w:t>eigenhändig im Oktober 2023 erhoben</w:t>
            </w:r>
          </w:p>
        </w:tc>
      </w:tr>
      <w:tr>
        <w:tc>
          <w:tcPr>
            <w:tcW w:type="dxa" w:w="1984"/>
            <w:vAlign w:val="center"/>
          </w:tcPr>
          <w:p>
            <w:r>
              <w:rPr>
                <w:rFonts w:ascii="Arial" w:hAnsi="Arial"/>
                <w:b/>
                <w:sz w:val="17"/>
              </w:rPr>
              <w:t>Vermerk</w:t>
            </w:r>
          </w:p>
        </w:tc>
        <w:tc>
          <w:tcPr>
            <w:tcW w:type="dxa" w:w="3402"/>
            <w:vAlign w:val="center"/>
          </w:tcPr>
          <w:p>
            <w:r>
              <w:rPr>
                <w:rFonts w:ascii="Arial" w:hAnsi="Arial"/>
                <w:sz w:val="17"/>
              </w:rPr>
              <w:t>17. Februar 2026</w:t>
            </w:r>
          </w:p>
        </w:tc>
      </w:tr>
    </w:tbl>
    <w:p/>
    <w:p>
      <w:pPr>
        <w:pStyle w:val="Title"/>
      </w:pPr>
      <w:r>
        <w:t>Aktenvermerk zum GdB-Bescheid und zu den Befundlücken</w:t>
      </w:r>
    </w:p>
    <w:p>
      <w:r>
        <w:t>Verfahrensstand</w:t>
      </w:r>
    </w:p>
    <w:p>
      <w:r>
        <w:t>Der eigenhändige Widerspruch der Mandantin ist nach ihrer Erinnerung per Einwurfeinschreiben versandt worden. Einlieferungsbeleg und Eingangsbestätigung fehlen in der Kanzleiakte. Vor jeder Sachbegründung sind Aktenzeichen, Eingang und aktueller Bearbeitungsstand beim Landesamt zu bestätigen.</w:t>
      </w:r>
    </w:p>
    <w:p>
      <w:r>
        <w:t>Bewertungsmaßstab</w:t>
      </w:r>
    </w:p>
    <w:p>
      <w:r>
        <w:t>Der Gesamtgrad ist anhand der dauerhaften Teilhabebeeinträchtigungen in ihrer Gesamtheit zu bilden; Einzelwerte werden nicht addiert. Für die weitere Bearbeitung kommt es deshalb darauf an, welche Funktionsverluste eigenständig hinzutreten und welche Auswirkungen sich überschneiden. Diagnoseetiketten allein tragen keinen höheren Grad.</w:t>
      </w:r>
    </w:p>
    <w:p>
      <w:r>
        <w:t>Befundlücken</w:t>
      </w:r>
    </w:p>
    <w:p>
      <w:r>
        <w:t>Der Bescheid erfasst die Häufigkeit mehrtägiger Zustandsverschlechterungen, die erforderlichen Liegezeiten und die kognitive Belastungsgrenze nicht konkret. Ebenso fehlen Rohdaten zur Orthostatik und eine Beschreibung der Wege außerhalb der Wohnung. Der spätere Bericht der Post-COVID-Ambulanz kann eine Verschlechterung oder eine bereits zuvor bestehende, nur unzureichend dokumentierte Einschränkung belegen; der zeitliche Bezug ist ärztlich zu klären.</w:t>
      </w:r>
    </w:p>
    <w:p>
      <w:r>
        <w:t>Beweisplan</w:t>
      </w:r>
    </w:p>
    <w:p>
      <w:r>
        <w:t>Benötigt werden die versorgungsärztliche Stellungnahme, die dem Landesamt vorgelegten Arztberichte, das damalige Widerspruchsschreiben und ein aktueller Befundbericht mit alltagsbezogenen Funktionsangaben. Die Mandantin soll für vier typische Wochen Tätigkeiten, Hilfe Dritter und Erholungszeiten dokumentieren, ohne gute und schlechte Tage zu vermischen.</w:t>
      </w:r>
    </w:p>
    <w:p>
      <w:r>
        <w:t>Nächster Schritt</w:t>
      </w:r>
    </w:p>
    <w:p>
      <w:r>
        <w:t>Akteneinsicht und Sachstandsanfrage; anschließend Gegenüberstellung der 2023 vorhandenen Befunde mit den späteren Untersuchungen. Erst danach ist zu entscheiden, ob das laufende Widerspruchsverfahren ergänzt oder zusätzlich ein Neufeststellungsantrag wegen wesentlicher Änderung gestellt wird.</w:t>
      </w:r>
    </w:p>
    <w:p/>
    <w:p>
      <w:r>
        <w:rPr>
          <w:rFonts w:ascii="Arial" w:hAnsi="Arial"/>
          <w:b/>
          <w:sz w:val="20"/>
        </w:rPr>
        <w:t>Marit Sonnemann</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08b_kanzleivermerk_gdb_bescheid_befundlücken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B3E26"/>
        <w:sz w:val="20"/>
      </w:rPr>
      <w:t>Kanzlei Sonnemann Sozialrecht</w:t>
    </w:r>
  </w:p>
  <w:p>
    <w:pPr>
      <w:spacing w:after="0"/>
      <w:pBdr>
        <w:bottom w:val="single" w:sz="8" w:space="3" w:color="6B3E26"/>
      </w:pBdr>
    </w:pPr>
    <w:r>
      <w:rPr>
        <w:rFonts w:ascii="Arial" w:hAnsi="Arial"/>
        <w:sz w:val="16"/>
      </w:rPr>
      <w:t>Karl-Liebknecht-Straße 14, 04107 Leipzig | Telefon 0341 2647-310 | Akte SF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B3E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3E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B3E2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 zum GdB-Bescheid und zu den Befundlücken</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