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Bescheid</w:t>
            </w:r>
          </w:p>
        </w:tc>
        <w:tc>
          <w:tcPr>
            <w:tcW w:type="dxa" w:w="3402"/>
            <w:vAlign w:val="center"/>
          </w:tcPr>
          <w:p>
            <w:r>
              <w:rPr>
                <w:rFonts w:ascii="Arial" w:hAnsi="Arial"/>
                <w:sz w:val="17"/>
              </w:rPr>
              <w:t>14. November 2025</w:t>
            </w:r>
          </w:p>
        </w:tc>
      </w:tr>
      <w:tr>
        <w:tc>
          <w:tcPr>
            <w:tcW w:type="dxa" w:w="1984"/>
            <w:vAlign w:val="center"/>
          </w:tcPr>
          <w:p>
            <w:r>
              <w:rPr>
                <w:rFonts w:ascii="Arial" w:hAnsi="Arial"/>
                <w:b/>
                <w:sz w:val="17"/>
              </w:rPr>
              <w:t>Mandat übernommen</w:t>
            </w:r>
          </w:p>
        </w:tc>
        <w:tc>
          <w:tcPr>
            <w:tcW w:type="dxa" w:w="3402"/>
            <w:vAlign w:val="center"/>
          </w:tcPr>
          <w:p>
            <w:r>
              <w:rPr>
                <w:rFonts w:ascii="Arial" w:hAnsi="Arial"/>
                <w:sz w:val="17"/>
              </w:rPr>
              <w:t>16. Februar 2026</w:t>
            </w:r>
          </w:p>
        </w:tc>
      </w:tr>
      <w:tr>
        <w:tc>
          <w:tcPr>
            <w:tcW w:type="dxa" w:w="1984"/>
            <w:vAlign w:val="center"/>
          </w:tcPr>
          <w:p>
            <w:r>
              <w:rPr>
                <w:rFonts w:ascii="Arial" w:hAnsi="Arial"/>
                <w:b/>
                <w:sz w:val="17"/>
              </w:rPr>
              <w:t>Bearbeitung</w:t>
            </w:r>
          </w:p>
        </w:tc>
        <w:tc>
          <w:tcPr>
            <w:tcW w:type="dxa" w:w="3402"/>
            <w:vAlign w:val="center"/>
          </w:tcPr>
          <w:p>
            <w:r>
              <w:rPr>
                <w:rFonts w:ascii="Arial" w:hAnsi="Arial"/>
                <w:sz w:val="17"/>
              </w:rPr>
              <w:t>Rechtsanwalt Marit Sonnemann</w:t>
            </w:r>
          </w:p>
        </w:tc>
      </w:tr>
      <w:tr>
        <w:tc>
          <w:tcPr>
            <w:tcW w:type="dxa" w:w="1984"/>
            <w:vAlign w:val="center"/>
          </w:tcPr>
          <w:p>
            <w:r>
              <w:rPr>
                <w:rFonts w:ascii="Arial" w:hAnsi="Arial"/>
                <w:b/>
                <w:sz w:val="17"/>
              </w:rPr>
              <w:t>Unterlagenstand</w:t>
            </w:r>
          </w:p>
        </w:tc>
        <w:tc>
          <w:tcPr>
            <w:tcW w:type="dxa" w:w="3402"/>
            <w:vAlign w:val="center"/>
          </w:tcPr>
          <w:p>
            <w:r>
              <w:rPr>
                <w:rFonts w:ascii="Arial" w:hAnsi="Arial"/>
                <w:sz w:val="17"/>
              </w:rPr>
              <w:t>Berechnungsbogen nur als unvollständige Kopie</w:t>
            </w:r>
          </w:p>
        </w:tc>
      </w:tr>
    </w:tbl>
    <w:p/>
    <w:p>
      <w:pPr>
        <w:pStyle w:val="Title"/>
      </w:pPr>
      <w:r>
        <w:t>Prüfvermerk zur Einkommensberechnung und zu den Unterkunftskosten</w:t>
      </w:r>
    </w:p>
    <w:p>
      <w:r>
        <w:t>Prüfauftrag</w:t>
      </w:r>
    </w:p>
    <w:p>
      <w:r>
        <w:t>Zu trennen sind die Einkommensberechnung, die Berücksichtigung des Kindergelds und die Begrenzung der Unterkunftskosten. Ein möglicher Fehler in einer Position führt nicht automatisch zu einem Leistungsanspruch; sämtliche Monatswerte sind für den jeweiligen Bewilligungsabschnitt neu zusammenzustellen.</w:t>
      </w:r>
    </w:p>
    <w:p>
      <w:r>
        <w:t>Einkommen</w:t>
      </w:r>
    </w:p>
    <w:p>
      <w:r>
        <w:t>Die Lohnabrechnungen September bis November 2025, Nachweise zu Fahrtstrecke, Arbeitstagen, Kfz-Haftpflicht und Betreuungskosten fehlen teilweise. Der Bescheid nennt nur den Endbetrag der Freibeträge. Der vollständige Rechenbogen ist anzufordern. Das Kindergeld ist als Einkommen der Kinder berücksichtigt; zu prüfen ist, ob es deren Bedarf jeweils vollständig deckt und ob eine Verschiebung auf andere Mitglieder vorgenommen wurde.</w:t>
      </w:r>
    </w:p>
    <w:p>
      <w:r>
        <w:t>Unterkunft</w:t>
      </w:r>
    </w:p>
    <w:p>
      <w:r>
        <w:t>Der Bescheid setzt 780,00 Euro Bruttokaltmiete an, ohne das zugrunde gelegte schlüssige Konzept, Vergleichsraum und Erhebungszeitraum zu benennen. Das angebliche Kostensenkungsschreiben vom 2. Oktober 2025 liegt nicht vor. Zu klären sind Zugang, konkrete Hinweise auf die als angemessen angesehene Miete, tatsächliche Suchbemühungen und die gesundheitliche Zumutbarkeit eines Umzugs.</w:t>
      </w:r>
    </w:p>
    <w:p>
      <w:r>
        <w:t>Belege und Fristen</w:t>
      </w:r>
    </w:p>
    <w:p>
      <w:r>
        <w:t>Anzufordern sind Verwaltungsakte, vollständige Berechnungsbögen, KdU-Konzept, Mietvertrag, Betriebskostenvorauszahlungen, Kontoauszüge, Lohnabrechnungen und Kindergeldnachweise. Die Mandantin soll dokumentieren, wann sie den Bescheid erhielt und ob ein gesondertes Kostensenkungsschreiben zuging. Ein Überprüfungsantrag oder weiterer Widerspruch ist erst nach Klärung des Verfahrensstands einzuordnen.</w:t>
      </w:r>
    </w:p>
    <w:p>
      <w:r>
        <w:t>Arbeitsprodukt</w:t>
      </w:r>
    </w:p>
    <w:p>
      <w:r>
        <w:t>Nach Akteneingang wird eine Monatsmatrix erstellt, in der Bedarf, Einkommen, Absetzungen und Unterkunftskosten mit Quelle und offenem Nachweis geführt werden. Bis dahin wird kein pauschaler monatlicher Anspruchsbetrag genannt.</w:t>
      </w:r>
    </w:p>
    <w:p/>
    <w:p>
      <w:r>
        <w:rPr>
          <w:rFonts w:ascii="Arial" w:hAnsi="Arial"/>
          <w:b/>
          <w:sz w:val="20"/>
        </w:rPr>
        <w:t>Marit Sonnemann</w:t>
        <w:br/>
      </w:r>
      <w:r>
        <w:rPr>
          <w:rFonts w:ascii="Arial" w:hAnsi="Arial"/>
          <w:sz w:val="20"/>
        </w:rPr>
        <w:t>Rechtsanwältin · Fachanwältin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10b_kanzleivermerk_jobcenter_berechnung_und_kdu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6B3E26"/>
        <w:sz w:val="20"/>
      </w:rPr>
      <w:t>Kanzlei Sonnemann Sozialrecht</w:t>
    </w:r>
  </w:p>
  <w:p>
    <w:pPr>
      <w:spacing w:after="0"/>
      <w:pBdr>
        <w:bottom w:val="single" w:sz="8" w:space="3" w:color="6B3E26"/>
      </w:pBdr>
    </w:pPr>
    <w:r>
      <w:rPr>
        <w:rFonts w:ascii="Arial" w:hAnsi="Arial"/>
        <w:sz w:val="16"/>
      </w:rPr>
      <w:t>Karl-Liebknecht-Straße 14, 04107 Leipzig | Telefon 0341 2647-310 | Akte SF 18/26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B3E2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B3E2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6B3E26"/>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Prüfvermerk zur Einkommensberechnung und zu den Unterkunftskosten</dc:title>
  <dc:subject/>
  <dc:creator>Kanzlei Sonnemann Sozialrecht</dc:creator>
  <cp:keywords/>
  <dc:description>generated by python-docx</dc:description>
  <cp:lastModifiedBy/>
  <cp:revision>1</cp:revision>
  <dcterms:created xsi:type="dcterms:W3CDTF">2013-12-23T23:15:00Z</dcterms:created>
  <dcterms:modified xsi:type="dcterms:W3CDTF">2013-12-23T23:15:00Z</dcterms:modified>
  <cp:category/>
</cp:coreProperties>
</file>