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Ehe- und Familienchronik</w:t>
      </w:r>
    </w:p>
    <w:p>
      <w:pPr>
        <w:pStyle w:val="Heading2"/>
      </w:pPr>
      <w:r>
        <w:rPr>
          <w:rFonts w:ascii="Times New Roman" w:hAnsi="Times New Roman"/>
        </w:rPr>
        <w:t>1 Zweck dieses Stücks</w:t>
      </w:r>
    </w:p>
    <w:p>
      <w:pPr>
        <w:jc w:val="left"/>
      </w:pPr>
      <w:r>
        <w:t>Diese Chronik fasst die für Paragraf 1578b BGB maßgeblichen Eckdaten der Ehe zusammen. Die Dauer der Ehe, die Rollenverteilung, die berufsbedingten Umzüge und die Betreuungsphasen sind für die Frage fortwirkender ehebedingter Nachteile von zentraler Bedeutung. Alle Angaben beruhen auf dem Vortrag beider Seiten und den vorgelegten Unterlagen und sind, soweit streitig, gekennzeichnet.</w:t>
      </w:r>
    </w:p>
    <w:p>
      <w:pPr>
        <w:pStyle w:val="Heading2"/>
      </w:pPr>
      <w:r>
        <w:rPr>
          <w:rFonts w:ascii="Times New Roman" w:hAnsi="Times New Roman"/>
        </w:rPr>
        <w:t>2 Eckdaten</w:t>
      </w:r>
    </w:p>
    <w:p>
      <w:pPr>
        <w:pStyle w:val="ListBullet"/>
      </w:pPr>
      <w:r>
        <w:t>Eheschließung: 15.08.1998 in Bielefeld</w:t>
      </w:r>
    </w:p>
    <w:p>
      <w:pPr>
        <w:pStyle w:val="ListBullet"/>
      </w:pPr>
      <w:r>
        <w:t>Trennung: Auszug des Mannes am 04.02.2019</w:t>
      </w:r>
    </w:p>
    <w:p>
      <w:pPr>
        <w:pStyle w:val="ListBullet"/>
      </w:pPr>
      <w:r>
        <w:t>Zustellung Scheidungsantrag: 22.10.2019</w:t>
      </w:r>
    </w:p>
    <w:p>
      <w:pPr>
        <w:pStyle w:val="ListBullet"/>
      </w:pPr>
      <w:r>
        <w:t>Rechtskraft der Scheidung: 26.03.2021</w:t>
      </w:r>
    </w:p>
    <w:p>
      <w:pPr>
        <w:pStyle w:val="ListBullet"/>
      </w:pPr>
      <w:r>
        <w:t>Ehedauer bis Rechtskraft: rund 22 Jahre und 7 Monate</w:t>
      </w:r>
    </w:p>
    <w:p>
      <w:pPr>
        <w:pStyle w:val="ListBullet"/>
      </w:pPr>
      <w:r>
        <w:t>Ehedauer bis Trennung: rund 20 Jahre und 6 Monate</w:t>
      </w:r>
    </w:p>
    <w:p>
      <w:pPr>
        <w:jc w:val="left"/>
      </w:pPr>
      <w:r>
        <w:t>Die Ehezeit im Sinne des Paragrafen 1578b BGB ist mit gut zwei Jahrzehnten als lang einzuordnen. Die genaue Bemessung der für die Billigkeitsabwägung relevanten Ehedauer ist anhand des Vergleichstextes und der gerichtlichen Feststellungen zu prüfen.</w:t>
      </w:r>
    </w:p>
    <w:p>
      <w:pPr>
        <w:pStyle w:val="Heading2"/>
      </w:pPr>
      <w:r>
        <w:rPr>
          <w:rFonts w:ascii="Times New Roman" w:hAnsi="Times New Roman"/>
        </w:rPr>
        <w:t>3 Wohnorte und berufsbedingte Umzüge</w:t>
      </w:r>
    </w:p>
    <w:p>
      <w:pPr>
        <w:jc w:val="left"/>
      </w:pPr>
      <w:r>
        <w:t>Die Eheleute zogen während der Ehe dreimal um, jeweils im Zusammenhang mit den Facharzt- und Oberarztstellen des Mannes.</w:t>
      </w:r>
    </w:p>
    <w:p>
      <w:pPr>
        <w:pStyle w:val="ListBullet"/>
      </w:pPr>
      <w:r>
        <w:t>1998 bis 2002: Bielefeld, gemeinsamer Berufsstart, Frau Voßkamp angestellt bei der Sparkasse Bielefeld</w:t>
      </w:r>
    </w:p>
    <w:p>
      <w:pPr>
        <w:pStyle w:val="ListBullet"/>
      </w:pPr>
      <w:r>
        <w:t>2002 bis 2009: Osnabrück, Wechsel wegen der Facharztweiterbildung des Mannes; Frau Voßkamp wechselte zu einer Filiale derselben Bankengruppe in Teilzeit</w:t>
      </w:r>
    </w:p>
    <w:p>
      <w:pPr>
        <w:pStyle w:val="ListBullet"/>
      </w:pPr>
      <w:r>
        <w:t>2009 bis heute: Münster, Wechsel wegen der Oberarztstelle des Mannes; Frau Voßkamp nahm zunächst eine Beschäftigung im Servicebereich einer Volksbank auf</w:t>
      </w:r>
    </w:p>
    <w:p>
      <w:pPr>
        <w:jc w:val="left"/>
      </w:pPr>
      <w:r>
        <w:t>Streitig ist, in welchem Umfang die Umzüge die berufliche Entwicklung von Frau Voßkamp gehemmt haben. Der Mandant sieht darin normale Begleiterscheinungen einer Familienlaufbahn; die Gegenseite wird darin den Kern der ehebedingten Nachteile sehen.</w:t>
      </w:r>
    </w:p>
    <w:p>
      <w:pPr>
        <w:pStyle w:val="Heading2"/>
      </w:pPr>
      <w:r>
        <w:rPr>
          <w:rFonts w:ascii="Times New Roman" w:hAnsi="Times New Roman"/>
        </w:rPr>
        <w:t>4 Kinder und Betreuung</w:t>
      </w:r>
    </w:p>
    <w:p>
      <w:pPr>
        <w:jc w:val="left"/>
      </w:pPr>
      <w:r>
        <w:t>Jonas wurde am 12.05.2002 geboren, Lina am 03.09.2003. Beide Kinder sind heute volljährig und befinden sich nicht mehr in der Betreuung der Mutter. Während der Ehe übernahm Frau Voßkamp nach übereinstimmender Darstellung den überwiegenden Teil der Kinderbetreuung und reduzierte ihre Erwerbstätigkeit in den Jahren 2002 bis etwa 2012 auf eine geringfügige bis halbe Teilzeit.</w:t>
      </w:r>
    </w:p>
    <w:p>
      <w:pPr>
        <w:pStyle w:val="Heading2"/>
      </w:pPr>
      <w:r>
        <w:rPr>
          <w:rFonts w:ascii="Times New Roman" w:hAnsi="Times New Roman"/>
        </w:rPr>
        <w:t>5 Rollenverteilung</w:t>
      </w:r>
    </w:p>
    <w:p>
      <w:pPr>
        <w:jc w:val="left"/>
      </w:pPr>
      <w:r>
        <w:t>Bis zur Geburt des ersten Kindes arbeiteten beide Eheleute in Vollzeit. Ab 2002 trug Herr Dr. Voßkamp den weit überwiegenden Teil des Familieneinkommens, während Frau Voßkamp die Haushaltsführung und Kinderbetreuung übernahm und nur in reduziertem Umfang erwerbstätig war. Diese Rollenverteilung wurde nach dem Vortrag beider Seiten einvernehmlich gelebt. Sie ist für die Frage bedeutsam, ob ein ehebedingter Nachteil entstanden ist und ob er heute noch fortwirkt.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