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Erwerbsbiografie und mögliche ehebedingte Nachteile</w:t>
      </w:r>
    </w:p>
    <w:p>
      <w:pPr>
        <w:pStyle w:val="Heading2"/>
      </w:pPr>
      <w:r>
        <w:rPr>
          <w:rFonts w:ascii="Times New Roman" w:hAnsi="Times New Roman"/>
        </w:rPr>
        <w:t>1 Zweck</w:t>
      </w:r>
    </w:p>
    <w:p>
      <w:pPr>
        <w:jc w:val="left"/>
      </w:pPr>
      <w:r>
        <w:t>Dieses Stück bildet die berufliche Entwicklung von Frau Voßkamp nach und ordnet die einzelnen Stationen daraufhin ein, ob aus ihnen ein ehebedingter Nachteil im Sinne des Paragrafen 1578b BGB folgt. Ein ehebedingter Nachteil liegt vor, wenn die Berechtigte ohne die ehebedingte Rollenverteilung heute ein höheres eigenes Einkommen oder eine bessere berufliche Stellung hätte. Maßgeblich ist der Vergleich zwischen der tatsächlichen und der hypothetischen, ehefrei gedachten Entwicklung.</w:t>
      </w:r>
    </w:p>
    <w:p>
      <w:pPr>
        <w:pStyle w:val="Heading2"/>
      </w:pPr>
      <w:r>
        <w:rPr>
          <w:rFonts w:ascii="Times New Roman" w:hAnsi="Times New Roman"/>
        </w:rPr>
        <w:t>2 Berufliche Stationen</w:t>
      </w:r>
    </w:p>
    <w:p>
      <w:pPr>
        <w:pStyle w:val="ListBullet"/>
      </w:pPr>
      <w:r>
        <w:t>1995 bis 1998: Ausbildung zur Bankkauffrau bei der Sparkasse Bielefeld, anschließend Übernahme in Vollzeit</w:t>
      </w:r>
    </w:p>
    <w:p>
      <w:pPr>
        <w:pStyle w:val="ListBullet"/>
      </w:pPr>
      <w:r>
        <w:t>1998 bis 2002: Vollzeit, Kundenberatung Privatkunden, Sparkasse Bielefeld; nach Vortrag der Gegenseite stand 2001 eine Beförderung zur stellvertretenden Teamleiterin im Raum</w:t>
      </w:r>
    </w:p>
    <w:p>
      <w:pPr>
        <w:pStyle w:val="ListBullet"/>
      </w:pPr>
      <w:r>
        <w:t>2002: Umzug nach Osnabrück wegen der Facharztstelle des Mannes, kurz danach Geburt von Jonas; Wechsel in eine andere Filiale, dort nur Teilzeit verfügbar</w:t>
      </w:r>
    </w:p>
    <w:p>
      <w:pPr>
        <w:pStyle w:val="ListBullet"/>
      </w:pPr>
      <w:r>
        <w:t>2003: Geburt von Lina; Reduzierung auf geringfügige Beschäftigung</w:t>
      </w:r>
    </w:p>
    <w:p>
      <w:pPr>
        <w:pStyle w:val="ListBullet"/>
      </w:pPr>
      <w:r>
        <w:t>2004 bis 2009: durchgehend Teilzeit zwischen geringfügig und halber Stelle</w:t>
      </w:r>
    </w:p>
    <w:p>
      <w:pPr>
        <w:pStyle w:val="ListBullet"/>
      </w:pPr>
      <w:r>
        <w:t>2009: Umzug nach Münster wegen der Oberarztstelle des Mannes; Tätigkeit im Servicebereich einer Volksbank, unterhalb der Qualifikation als Bankkauffrau</w:t>
      </w:r>
    </w:p>
    <w:p>
      <w:pPr>
        <w:pStyle w:val="ListBullet"/>
      </w:pPr>
      <w:r>
        <w:t>2012 bis 2018: Teilzeit im Servicebereich, keine Rückkehr in die qualifizierte Kundenberatung</w:t>
      </w:r>
    </w:p>
    <w:p>
      <w:pPr>
        <w:pStyle w:val="ListBullet"/>
      </w:pPr>
      <w:r>
        <w:t>ab 2022: Wiedereinstieg in die Kundenberatung bei der Westmünsterland Volksbank</w:t>
      </w:r>
    </w:p>
    <w:p>
      <w:pPr>
        <w:pStyle w:val="Heading2"/>
      </w:pPr>
      <w:r>
        <w:rPr>
          <w:rFonts w:ascii="Times New Roman" w:hAnsi="Times New Roman"/>
        </w:rPr>
        <w:t>3 Streitpunkt ausgeschlagene Beförderung</w:t>
      </w:r>
    </w:p>
    <w:p>
      <w:pPr>
        <w:jc w:val="left"/>
      </w:pPr>
      <w:r>
        <w:t>Die Gegenseite trägt vor, Frau Voßkamp habe 2001 in Bielefeld eine Beförderung zur stellvertretenden Teamleiterin ausgeschlagen, weil der bevorstehende Umzug nach Osnabrück und die Familienplanung dies nicht zuließen. Der Mandant bestreitet, dass eine konkrete Beförderung tatsächlich angeboten worden sei, und hält den Vortrag für nachträglich konstruiert. Ob und in welchem Umfang dieser Punkt belegbar ist, ist offen. Zu klären ist, ob die damalige Vorgesetzte als Zeugin zur Verfügung steht und ob personalakten- oder gehaltsbezogene Unterlagen existieren.</w:t>
      </w:r>
    </w:p>
    <w:p>
      <w:pPr>
        <w:pStyle w:val="Heading2"/>
      </w:pPr>
      <w:r>
        <w:rPr>
          <w:rFonts w:ascii="Times New Roman" w:hAnsi="Times New Roman"/>
        </w:rPr>
        <w:t>4 Hypothetische Vergleichsbetrachtung</w:t>
      </w:r>
    </w:p>
    <w:p>
      <w:pPr>
        <w:jc w:val="left"/>
      </w:pPr>
      <w:r>
        <w:t>Ohne die ehebedingten Umzüge und Betreuungsphasen hätte Frau Voßkamp ihre Laufbahn in der qualifizierten Kundenberatung möglicherweise durchgehend fortsetzen und in eine Leitungsfunktion aufsteigen können. Der hypothetische Verdienst einer durchgehend in Vollzeit tätigen Bankkauffrau mit Aufstieg ist gegen den heutigen tatsächlichen Verdienst zu stellen. Die Differenz wäre der fortwirkende ehebedingte Nachteil. Diese Vergleichsbetrachtung ist mit konkreten Gehaltsbändern zu unterlegen; eine pauschale Behauptung genügt nach der zu Paragraf 1578b BGB ergangenen Rechtsprechung nicht.</w:t>
      </w:r>
    </w:p>
    <w:p>
      <w:pPr>
        <w:pStyle w:val="Heading2"/>
      </w:pPr>
      <w:r>
        <w:rPr>
          <w:rFonts w:ascii="Times New Roman" w:hAnsi="Times New Roman"/>
        </w:rPr>
        <w:t>5 Beweislast</w:t>
      </w:r>
    </w:p>
    <w:p>
      <w:pPr>
        <w:jc w:val="left"/>
      </w:pPr>
      <w:r>
        <w:t>Nach der zu Paragraf 1578b BGB ergangenen Rechtsprechung trägt die Berechtigte die Darlegungs- und Beweislast für das Vorliegen und das Fortwirken eines ehebedingten Nachteils, während den Pflichtigen für die Befristungsvoraussetzungen eine sekundäre Darlegungslast trifft. Die konkrete Verteilung ist vor Verwendung an amtlicher Quelle zu verifizieren. Für die Strategie folgt daraus, dass die Gegenseite den Nachteil substantiiert darlegen muss; gelingt das nicht, spricht dies für eine Befristung.</w:t>
      </w:r>
    </w:p>
    <w:sectPr w:rsidR="00FC693F" w:rsidRPr="0006063C" w:rsidSect="00034616">
      <w:pgSz w:w="11906" w:h="16838"/>
      <w:pgMar w:top="1020" w:right="1417" w:bottom="907"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