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Leistungsfähigkeit und Selbstbehalt</w:t>
      </w:r>
    </w:p>
    <w:p>
      <w:pPr>
        <w:pStyle w:val="Heading2"/>
      </w:pPr>
      <w:r>
        <w:rPr>
          <w:rFonts w:ascii="Times New Roman" w:hAnsi="Times New Roman"/>
        </w:rPr>
        <w:t>1 Grundsatz</w:t>
      </w:r>
    </w:p>
    <w:p>
      <w:pPr>
        <w:jc w:val="left"/>
      </w:pPr>
      <w:r>
        <w:t>Der Pflichtige schuldet Unterhalt nur, soweit er leistungsfähig ist, Paragraf 1581 BGB. Ihm verbleibt gegenüber der geschiedenen Frau ein angemessener Selbstbehalt. Der Selbstbehaltssatz gegenüber dem geschiedenen Ehegatten ist als Arbeitswert anzusetzen und vor Verwendung an der aktuellen Fassung der unterhaltsrechtlichen Leitlinien und der Düsseldorfer Tabelle zu verifizieren.</w:t>
      </w:r>
    </w:p>
    <w:p>
      <w:pPr>
        <w:pStyle w:val="Heading2"/>
      </w:pPr>
      <w:r>
        <w:rPr>
          <w:rFonts w:ascii="Times New Roman" w:hAnsi="Times New Roman"/>
        </w:rPr>
        <w:t>2 Leistungsfähigkeit des Pflichtigen</w:t>
      </w:r>
    </w:p>
    <w:p>
      <w:pPr>
        <w:jc w:val="left"/>
      </w:pPr>
      <w:r>
        <w:t>Herr Dr. Voßkamp verfügt über ein bereinigtes Nettoeinkommen in der Größenordnung von rund 4.600,00 EUR bis 4.900,00 EUR monatlich. Auch nach Abzug eines Selbstbehalts und etwaigen Volljährigenunterhalts für Lina bleibt er für den nachehelichen Unterhalt in der bisherigen Größenordnung leistungsfähig. Die Leistungsfähigkeit ist deshalb nicht der Angriffspunkt; entscheidend ist die Bedarfs- und Befristungsfrage.</w:t>
      </w:r>
    </w:p>
    <w:p>
      <w:pPr>
        <w:pStyle w:val="Heading2"/>
      </w:pPr>
      <w:r>
        <w:rPr>
          <w:rFonts w:ascii="Times New Roman" w:hAnsi="Times New Roman"/>
        </w:rPr>
        <w:t>3 Konkurrierende Unterhaltspflichten und Rang</w:t>
      </w:r>
    </w:p>
    <w:p>
      <w:pPr>
        <w:jc w:val="left"/>
      </w:pPr>
      <w:r>
        <w:t>Im Rang ist zu beachten, dass minderjährige und privilegierte volljährige Kinder dem geschiedenen Ehegatten vorgehen, Paragraf 1609 BGB. Lina als nicht privilegierte Volljährige steht im Rang hinter dem Ehegattenunterhalt, soweit sie nicht privilegiert ist; die Einordnung ist anhand ihres Alters, ihres Wohnorts und ihres Ausbildungsstands zu prüfen. Diese Rangfragen wirken sich auf die Verteilung des verfügbaren Einkommens aus.</w:t>
      </w:r>
    </w:p>
    <w:p>
      <w:pPr>
        <w:pStyle w:val="Heading2"/>
      </w:pPr>
      <w:r>
        <w:rPr>
          <w:rFonts w:ascii="Times New Roman" w:hAnsi="Times New Roman"/>
        </w:rPr>
        <w:t>4 Selbstbehalt als Arbeitswert</w:t>
      </w:r>
    </w:p>
    <w:p>
      <w:pPr>
        <w:jc w:val="left"/>
      </w:pPr>
      <w:r>
        <w:t>Als Arbeitswert wird ein Selbstbehalt gegenüber dem geschiedenen Ehegatten von rund 1.600,00 EUR monatlich angesetzt (Stand zu verifizieren). Dieser Wert wird durch das Einkommen des Pflichtigen deutlich überschritten, sodass keine Mangelfallproblematik besteht.</w:t>
      </w:r>
    </w:p>
    <w:p>
      <w:pPr>
        <w:pStyle w:val="Heading2"/>
      </w:pPr>
      <w:r>
        <w:rPr>
          <w:rFonts w:ascii="Times New Roman" w:hAnsi="Times New Roman"/>
        </w:rPr>
        <w:t>5 Zwischenergebnis</w:t>
      </w:r>
    </w:p>
    <w:p>
      <w:pPr>
        <w:jc w:val="left"/>
      </w:pPr>
      <w:r>
        <w:t>Die Leistungsfähigkeit steht der bisherigen Unterhaltshöhe nicht entgegen. Eine Herabsetzung lässt sich folglich nicht über fehlende Leistungsfähigkeit, sondern allein über die Billigkeitsabwägung nach Paragraf 1578b BGB erreichen. Das bestimmt die Stoßrichtung des Verfahrens.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